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b/>
          <w:spacing w:val="20"/>
          <w:sz w:val="40"/>
          <w:szCs w:val="40"/>
        </w:rPr>
      </w:pPr>
      <w:r>
        <w:rPr>
          <w:rFonts w:hint="eastAsia" w:ascii="楷体" w:hAnsi="楷体" w:eastAsia="楷体"/>
          <w:b/>
          <w:spacing w:val="20"/>
          <w:sz w:val="40"/>
          <w:szCs w:val="40"/>
          <w:lang w:val="en-US" w:eastAsia="zh-CN"/>
        </w:rPr>
        <w:t>安徽安诚金融控股集团有限公司2020年  非公开发行公司债券</w:t>
      </w:r>
      <w:r>
        <w:rPr>
          <w:rFonts w:hint="eastAsia" w:ascii="楷体" w:hAnsi="楷体" w:eastAsia="楷体"/>
          <w:b/>
          <w:spacing w:val="20"/>
          <w:sz w:val="40"/>
          <w:szCs w:val="40"/>
        </w:rPr>
        <w:t>主承销商</w:t>
      </w:r>
    </w:p>
    <w:p>
      <w:pPr>
        <w:spacing w:after="312" w:afterLines="100" w:line="360" w:lineRule="auto"/>
        <w:jc w:val="center"/>
        <w:rPr>
          <w:rFonts w:hint="eastAsia" w:ascii="楷体" w:hAnsi="楷体" w:eastAsia="楷体"/>
          <w:b/>
          <w:spacing w:val="20"/>
          <w:sz w:val="32"/>
          <w:szCs w:val="32"/>
        </w:rPr>
      </w:pPr>
    </w:p>
    <w:p>
      <w:pPr>
        <w:spacing w:after="312" w:afterLines="100" w:line="360" w:lineRule="auto"/>
        <w:jc w:val="center"/>
        <w:rPr>
          <w:rFonts w:hint="eastAsia" w:ascii="楷体" w:hAnsi="楷体" w:eastAsia="楷体"/>
          <w:b/>
          <w:spacing w:val="20"/>
          <w:sz w:val="32"/>
          <w:szCs w:val="32"/>
        </w:rPr>
      </w:pPr>
    </w:p>
    <w:p>
      <w:pPr>
        <w:spacing w:after="312" w:afterLines="100" w:line="360" w:lineRule="auto"/>
        <w:jc w:val="center"/>
        <w:rPr>
          <w:rFonts w:hint="eastAsia" w:ascii="楷体" w:hAnsi="楷体" w:eastAsia="楷体"/>
          <w:b/>
          <w:spacing w:val="20"/>
          <w:sz w:val="72"/>
          <w:szCs w:val="72"/>
          <w:lang w:val="en-US" w:eastAsia="zh-CN"/>
        </w:rPr>
      </w:pPr>
      <w:r>
        <w:rPr>
          <w:rFonts w:hint="eastAsia" w:ascii="楷体" w:hAnsi="楷体" w:eastAsia="楷体"/>
          <w:b/>
          <w:spacing w:val="20"/>
          <w:sz w:val="72"/>
          <w:szCs w:val="72"/>
          <w:lang w:eastAsia="zh-CN"/>
        </w:rPr>
        <w:t>招标文件</w:t>
      </w:r>
    </w:p>
    <w:p>
      <w:pPr>
        <w:spacing w:after="312" w:afterLines="100" w:line="360" w:lineRule="auto"/>
        <w:jc w:val="center"/>
        <w:rPr>
          <w:rFonts w:hint="eastAsia" w:ascii="楷体" w:hAnsi="楷体" w:eastAsia="楷体"/>
          <w:spacing w:val="20"/>
          <w:sz w:val="24"/>
        </w:rPr>
      </w:pPr>
    </w:p>
    <w:p>
      <w:pPr>
        <w:spacing w:after="312" w:afterLines="100" w:line="360" w:lineRule="auto"/>
        <w:jc w:val="center"/>
        <w:rPr>
          <w:rFonts w:hint="eastAsia" w:ascii="楷体" w:hAnsi="楷体" w:eastAsia="楷体"/>
          <w:b/>
          <w:spacing w:val="20"/>
          <w:sz w:val="44"/>
          <w:szCs w:val="44"/>
        </w:rPr>
      </w:pPr>
    </w:p>
    <w:p>
      <w:pPr>
        <w:spacing w:after="312" w:afterLines="100" w:line="360" w:lineRule="auto"/>
        <w:jc w:val="center"/>
        <w:rPr>
          <w:rFonts w:hint="eastAsia" w:ascii="楷体" w:hAnsi="楷体" w:eastAsia="楷体"/>
          <w:b/>
          <w:spacing w:val="20"/>
          <w:sz w:val="44"/>
          <w:szCs w:val="44"/>
        </w:rPr>
      </w:pPr>
    </w:p>
    <w:p>
      <w:pPr>
        <w:spacing w:after="312" w:afterLines="100" w:line="360" w:lineRule="auto"/>
        <w:jc w:val="center"/>
        <w:rPr>
          <w:rFonts w:hint="eastAsia" w:ascii="楷体" w:hAnsi="楷体" w:eastAsia="楷体"/>
          <w:b/>
          <w:spacing w:val="20"/>
          <w:sz w:val="44"/>
          <w:szCs w:val="44"/>
        </w:rPr>
      </w:pPr>
    </w:p>
    <w:p>
      <w:pPr>
        <w:spacing w:after="312" w:afterLines="100" w:line="360" w:lineRule="auto"/>
        <w:jc w:val="center"/>
        <w:rPr>
          <w:rFonts w:hint="default" w:ascii="楷体" w:hAnsi="楷体" w:eastAsia="楷体"/>
          <w:b/>
          <w:spacing w:val="20"/>
          <w:sz w:val="32"/>
          <w:szCs w:val="32"/>
          <w:lang w:val="en-US" w:eastAsia="zh-CN"/>
        </w:rPr>
      </w:pPr>
      <w:r>
        <w:rPr>
          <w:rFonts w:hint="eastAsia" w:ascii="楷体" w:hAnsi="楷体" w:eastAsia="楷体"/>
          <w:b/>
          <w:spacing w:val="20"/>
          <w:sz w:val="32"/>
          <w:szCs w:val="32"/>
          <w:lang w:eastAsia="zh-CN"/>
        </w:rPr>
        <w:t>招标</w:t>
      </w:r>
      <w:r>
        <w:rPr>
          <w:rFonts w:hint="eastAsia" w:ascii="楷体" w:hAnsi="楷体" w:eastAsia="楷体"/>
          <w:b/>
          <w:spacing w:val="20"/>
          <w:sz w:val="32"/>
          <w:szCs w:val="32"/>
        </w:rPr>
        <w:t>人：</w:t>
      </w:r>
      <w:r>
        <w:rPr>
          <w:rFonts w:hint="eastAsia" w:ascii="楷体" w:hAnsi="楷体" w:eastAsia="楷体"/>
          <w:b/>
          <w:spacing w:val="20"/>
          <w:sz w:val="32"/>
          <w:szCs w:val="32"/>
          <w:lang w:val="en-US" w:eastAsia="zh-CN"/>
        </w:rPr>
        <w:t>安徽安诚金融控股集团有限公司</w:t>
      </w:r>
    </w:p>
    <w:p>
      <w:pPr>
        <w:spacing w:after="312" w:afterLines="100" w:line="360" w:lineRule="auto"/>
        <w:jc w:val="center"/>
        <w:rPr>
          <w:rFonts w:hint="eastAsia" w:ascii="楷体" w:hAnsi="楷体" w:eastAsia="楷体"/>
          <w:b/>
          <w:spacing w:val="20"/>
          <w:sz w:val="32"/>
          <w:szCs w:val="32"/>
          <w:lang w:eastAsia="zh-CN"/>
        </w:rPr>
        <w:sectPr>
          <w:footerReference r:id="rId3" w:type="even"/>
          <w:pgSz w:w="11906" w:h="16838"/>
          <w:pgMar w:top="1440" w:right="1797" w:bottom="1440" w:left="1797"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r>
        <w:rPr>
          <w:rFonts w:hint="eastAsia" w:ascii="楷体" w:hAnsi="楷体" w:eastAsia="楷体"/>
          <w:b/>
          <w:spacing w:val="20"/>
          <w:sz w:val="32"/>
          <w:szCs w:val="32"/>
          <w:lang w:eastAsia="zh-CN"/>
        </w:rPr>
        <w:t>20</w:t>
      </w:r>
      <w:r>
        <w:rPr>
          <w:rFonts w:hint="eastAsia" w:ascii="楷体" w:hAnsi="楷体" w:eastAsia="楷体"/>
          <w:b/>
          <w:spacing w:val="20"/>
          <w:sz w:val="32"/>
          <w:szCs w:val="32"/>
          <w:lang w:val="en-US" w:eastAsia="zh-CN"/>
        </w:rPr>
        <w:t>20</w:t>
      </w:r>
      <w:r>
        <w:rPr>
          <w:rFonts w:hint="eastAsia" w:ascii="楷体" w:hAnsi="楷体" w:eastAsia="楷体"/>
          <w:b/>
          <w:spacing w:val="20"/>
          <w:sz w:val="32"/>
          <w:szCs w:val="32"/>
          <w:lang w:eastAsia="zh-CN"/>
        </w:rPr>
        <w:t>年</w:t>
      </w:r>
      <w:r>
        <w:rPr>
          <w:rFonts w:hint="eastAsia" w:ascii="楷体" w:hAnsi="楷体" w:eastAsia="楷体"/>
          <w:b/>
          <w:spacing w:val="20"/>
          <w:sz w:val="32"/>
          <w:szCs w:val="32"/>
          <w:lang w:val="en-US" w:eastAsia="zh-CN"/>
        </w:rPr>
        <w:t>8</w:t>
      </w:r>
      <w:r>
        <w:rPr>
          <w:rFonts w:hint="eastAsia" w:ascii="楷体" w:hAnsi="楷体" w:eastAsia="楷体"/>
          <w:b/>
          <w:spacing w:val="20"/>
          <w:sz w:val="32"/>
          <w:szCs w:val="32"/>
          <w:lang w:eastAsia="zh-CN"/>
        </w:rPr>
        <w:t>月</w:t>
      </w:r>
    </w:p>
    <w:p>
      <w:pPr>
        <w:spacing w:after="312" w:afterLines="100" w:line="360" w:lineRule="auto"/>
        <w:jc w:val="center"/>
        <w:rPr>
          <w:rFonts w:hint="eastAsia" w:ascii="楷体" w:hAnsi="楷体" w:eastAsia="楷体"/>
          <w:b/>
          <w:spacing w:val="20"/>
          <w:sz w:val="32"/>
          <w:szCs w:val="32"/>
        </w:rPr>
      </w:pPr>
      <w:r>
        <w:rPr>
          <w:rFonts w:hint="eastAsia" w:ascii="楷体" w:hAnsi="楷体" w:eastAsia="楷体"/>
          <w:b/>
          <w:spacing w:val="20"/>
          <w:sz w:val="36"/>
          <w:szCs w:val="36"/>
        </w:rPr>
        <w:t>目  录</w:t>
      </w:r>
    </w:p>
    <w:p>
      <w:pPr>
        <w:pStyle w:val="5"/>
        <w:keepNext w:val="0"/>
        <w:keepLines w:val="0"/>
        <w:pageBreakBefore w:val="0"/>
        <w:widowControl w:val="0"/>
        <w:tabs>
          <w:tab w:val="right" w:leader="dot" w:pos="8312"/>
        </w:tabs>
        <w:kinsoku/>
        <w:wordWrap/>
        <w:overflowPunct/>
        <w:topLinePunct w:val="0"/>
        <w:autoSpaceDE/>
        <w:autoSpaceDN/>
        <w:bidi w:val="0"/>
        <w:adjustRightInd/>
        <w:snapToGrid/>
        <w:spacing w:line="480" w:lineRule="auto"/>
        <w:textAlignment w:val="auto"/>
        <w:rPr>
          <w:rFonts w:hint="eastAsia" w:ascii="楷体" w:hAnsi="楷体" w:eastAsia="楷体" w:cs="楷体"/>
          <w:sz w:val="28"/>
          <w:szCs w:val="28"/>
        </w:rPr>
      </w:pPr>
      <w:r>
        <w:rPr>
          <w:rFonts w:hint="eastAsia" w:ascii="楷体" w:hAnsi="楷体" w:eastAsia="楷体" w:cs="楷体"/>
          <w:spacing w:val="20"/>
          <w:sz w:val="28"/>
          <w:szCs w:val="28"/>
        </w:rPr>
        <w:fldChar w:fldCharType="begin"/>
      </w:r>
      <w:r>
        <w:rPr>
          <w:rFonts w:hint="eastAsia" w:ascii="楷体" w:hAnsi="楷体" w:eastAsia="楷体" w:cs="楷体"/>
          <w:spacing w:val="20"/>
          <w:sz w:val="28"/>
          <w:szCs w:val="28"/>
        </w:rPr>
        <w:instrText xml:space="preserve"> TOC \o "1-3" \h \z \u </w:instrText>
      </w:r>
      <w:r>
        <w:rPr>
          <w:rFonts w:hint="eastAsia" w:ascii="楷体" w:hAnsi="楷体" w:eastAsia="楷体" w:cs="楷体"/>
          <w:spacing w:val="20"/>
          <w:sz w:val="28"/>
          <w:szCs w:val="28"/>
        </w:rPr>
        <w:fldChar w:fldCharType="separate"/>
      </w:r>
      <w:r>
        <w:rPr>
          <w:rFonts w:hint="eastAsia" w:ascii="楷体" w:hAnsi="楷体" w:eastAsia="楷体" w:cs="楷体"/>
          <w:spacing w:val="20"/>
          <w:sz w:val="28"/>
          <w:szCs w:val="28"/>
        </w:rPr>
        <w:fldChar w:fldCharType="begin"/>
      </w:r>
      <w:r>
        <w:rPr>
          <w:rFonts w:hint="eastAsia" w:ascii="楷体" w:hAnsi="楷体" w:eastAsia="楷体" w:cs="楷体"/>
          <w:spacing w:val="20"/>
          <w:sz w:val="28"/>
          <w:szCs w:val="28"/>
        </w:rPr>
        <w:instrText xml:space="preserve"> HYPERLINK \l _Toc17506 </w:instrText>
      </w:r>
      <w:r>
        <w:rPr>
          <w:rFonts w:hint="eastAsia" w:ascii="楷体" w:hAnsi="楷体" w:eastAsia="楷体" w:cs="楷体"/>
          <w:spacing w:val="20"/>
          <w:sz w:val="28"/>
          <w:szCs w:val="28"/>
        </w:rPr>
        <w:fldChar w:fldCharType="separate"/>
      </w:r>
      <w:r>
        <w:rPr>
          <w:rFonts w:hint="eastAsia" w:ascii="楷体" w:hAnsi="楷体" w:eastAsia="楷体" w:cs="楷体"/>
          <w:sz w:val="28"/>
          <w:szCs w:val="28"/>
          <w:lang w:eastAsia="zh-CN"/>
        </w:rPr>
        <w:t>第一章</w:t>
      </w:r>
      <w:r>
        <w:rPr>
          <w:rFonts w:hint="eastAsia" w:ascii="楷体" w:hAnsi="楷体" w:eastAsia="楷体" w:cs="楷体"/>
          <w:sz w:val="28"/>
          <w:szCs w:val="28"/>
          <w:lang w:val="en-US" w:eastAsia="zh-CN"/>
        </w:rPr>
        <w:t xml:space="preserve"> 招标公告</w:t>
      </w:r>
      <w:r>
        <w:rPr>
          <w:rFonts w:hint="eastAsia" w:ascii="楷体" w:hAnsi="楷体" w:eastAsia="楷体" w:cs="楷体"/>
          <w:sz w:val="28"/>
          <w:szCs w:val="28"/>
        </w:rPr>
        <w:tab/>
      </w: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PAGEREF _Toc17506 </w:instrText>
      </w:r>
      <w:r>
        <w:rPr>
          <w:rFonts w:hint="eastAsia" w:ascii="楷体" w:hAnsi="楷体" w:eastAsia="楷体" w:cs="楷体"/>
          <w:sz w:val="28"/>
          <w:szCs w:val="28"/>
        </w:rPr>
        <w:fldChar w:fldCharType="separate"/>
      </w:r>
      <w:r>
        <w:rPr>
          <w:rFonts w:hint="eastAsia" w:ascii="楷体" w:hAnsi="楷体" w:eastAsia="楷体" w:cs="楷体"/>
          <w:sz w:val="28"/>
          <w:szCs w:val="28"/>
        </w:rPr>
        <w:t>2</w:t>
      </w:r>
      <w:r>
        <w:rPr>
          <w:rFonts w:hint="eastAsia" w:ascii="楷体" w:hAnsi="楷体" w:eastAsia="楷体" w:cs="楷体"/>
          <w:sz w:val="28"/>
          <w:szCs w:val="28"/>
        </w:rPr>
        <w:fldChar w:fldCharType="end"/>
      </w:r>
      <w:r>
        <w:rPr>
          <w:rFonts w:hint="eastAsia" w:ascii="楷体" w:hAnsi="楷体" w:eastAsia="楷体" w:cs="楷体"/>
          <w:spacing w:val="20"/>
          <w:sz w:val="28"/>
          <w:szCs w:val="28"/>
        </w:rPr>
        <w:fldChar w:fldCharType="end"/>
      </w:r>
    </w:p>
    <w:p>
      <w:pPr>
        <w:pStyle w:val="5"/>
        <w:keepNext w:val="0"/>
        <w:keepLines w:val="0"/>
        <w:pageBreakBefore w:val="0"/>
        <w:widowControl w:val="0"/>
        <w:tabs>
          <w:tab w:val="right" w:leader="dot" w:pos="8312"/>
        </w:tabs>
        <w:kinsoku/>
        <w:wordWrap/>
        <w:overflowPunct/>
        <w:topLinePunct w:val="0"/>
        <w:autoSpaceDE/>
        <w:autoSpaceDN/>
        <w:bidi w:val="0"/>
        <w:adjustRightInd/>
        <w:snapToGrid/>
        <w:spacing w:line="480" w:lineRule="auto"/>
        <w:textAlignment w:val="auto"/>
        <w:rPr>
          <w:rFonts w:hint="eastAsia" w:ascii="楷体" w:hAnsi="楷体" w:eastAsia="楷体" w:cs="楷体"/>
          <w:sz w:val="28"/>
          <w:szCs w:val="28"/>
          <w:lang w:eastAsia="zh-CN"/>
        </w:rPr>
      </w:pPr>
      <w:r>
        <w:rPr>
          <w:rFonts w:hint="eastAsia" w:ascii="楷体" w:hAnsi="楷体" w:eastAsia="楷体" w:cs="楷体"/>
          <w:spacing w:val="20"/>
          <w:sz w:val="28"/>
          <w:szCs w:val="28"/>
        </w:rPr>
        <w:fldChar w:fldCharType="begin"/>
      </w:r>
      <w:r>
        <w:rPr>
          <w:rFonts w:hint="eastAsia" w:ascii="楷体" w:hAnsi="楷体" w:eastAsia="楷体" w:cs="楷体"/>
          <w:spacing w:val="20"/>
          <w:sz w:val="28"/>
          <w:szCs w:val="28"/>
        </w:rPr>
        <w:instrText xml:space="preserve"> HYPERLINK \l _Toc5807 </w:instrText>
      </w:r>
      <w:r>
        <w:rPr>
          <w:rFonts w:hint="eastAsia" w:ascii="楷体" w:hAnsi="楷体" w:eastAsia="楷体" w:cs="楷体"/>
          <w:spacing w:val="20"/>
          <w:sz w:val="28"/>
          <w:szCs w:val="28"/>
        </w:rPr>
        <w:fldChar w:fldCharType="separate"/>
      </w:r>
      <w:r>
        <w:rPr>
          <w:rFonts w:hint="eastAsia" w:ascii="楷体" w:hAnsi="楷体" w:eastAsia="楷体" w:cs="楷体"/>
          <w:sz w:val="28"/>
          <w:szCs w:val="28"/>
          <w:lang w:val="en-US" w:eastAsia="zh-CN"/>
        </w:rPr>
        <w:t>第二章 投标人须知</w:t>
      </w:r>
      <w:r>
        <w:rPr>
          <w:rFonts w:hint="eastAsia" w:ascii="楷体" w:hAnsi="楷体" w:eastAsia="楷体" w:cs="楷体"/>
          <w:sz w:val="28"/>
          <w:szCs w:val="28"/>
        </w:rPr>
        <w:tab/>
      </w:r>
      <w:r>
        <w:rPr>
          <w:rFonts w:hint="eastAsia" w:ascii="楷体" w:hAnsi="楷体" w:eastAsia="楷体" w:cs="楷体"/>
          <w:spacing w:val="20"/>
          <w:sz w:val="28"/>
          <w:szCs w:val="28"/>
        </w:rPr>
        <w:fldChar w:fldCharType="end"/>
      </w:r>
      <w:r>
        <w:rPr>
          <w:rFonts w:hint="eastAsia" w:ascii="楷体" w:hAnsi="楷体" w:eastAsia="楷体" w:cs="楷体"/>
          <w:sz w:val="28"/>
          <w:szCs w:val="28"/>
          <w:lang w:val="en-US" w:eastAsia="zh-CN"/>
        </w:rPr>
        <w:t>5</w:t>
      </w:r>
    </w:p>
    <w:p>
      <w:pPr>
        <w:pStyle w:val="5"/>
        <w:keepNext w:val="0"/>
        <w:keepLines w:val="0"/>
        <w:pageBreakBefore w:val="0"/>
        <w:widowControl w:val="0"/>
        <w:tabs>
          <w:tab w:val="right" w:leader="dot" w:pos="8312"/>
        </w:tabs>
        <w:kinsoku/>
        <w:wordWrap/>
        <w:overflowPunct/>
        <w:topLinePunct w:val="0"/>
        <w:autoSpaceDE/>
        <w:autoSpaceDN/>
        <w:bidi w:val="0"/>
        <w:adjustRightInd/>
        <w:snapToGrid/>
        <w:spacing w:line="480" w:lineRule="auto"/>
        <w:textAlignment w:val="auto"/>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fldChar w:fldCharType="begin"/>
      </w:r>
      <w:r>
        <w:rPr>
          <w:rFonts w:hint="eastAsia" w:ascii="楷体" w:hAnsi="楷体" w:eastAsia="楷体" w:cs="楷体"/>
          <w:sz w:val="28"/>
          <w:szCs w:val="28"/>
          <w:lang w:val="en-US" w:eastAsia="zh-CN"/>
        </w:rPr>
        <w:instrText xml:space="preserve"> HYPERLINK \l _Toc1790 </w:instrText>
      </w:r>
      <w:r>
        <w:rPr>
          <w:rFonts w:hint="eastAsia" w:ascii="楷体" w:hAnsi="楷体" w:eastAsia="楷体" w:cs="楷体"/>
          <w:sz w:val="28"/>
          <w:szCs w:val="28"/>
          <w:lang w:val="en-US" w:eastAsia="zh-CN"/>
        </w:rPr>
        <w:fldChar w:fldCharType="separate"/>
      </w:r>
      <w:r>
        <w:rPr>
          <w:rFonts w:hint="eastAsia" w:ascii="楷体" w:hAnsi="楷体" w:eastAsia="楷体" w:cs="楷体"/>
          <w:sz w:val="28"/>
          <w:szCs w:val="28"/>
          <w:lang w:val="en-US" w:eastAsia="zh-CN"/>
        </w:rPr>
        <w:t>第三章 评审委员会与评选规则</w:t>
      </w:r>
      <w:r>
        <w:rPr>
          <w:rFonts w:hint="eastAsia" w:ascii="楷体" w:hAnsi="楷体" w:eastAsia="楷体" w:cs="楷体"/>
          <w:sz w:val="28"/>
          <w:szCs w:val="28"/>
          <w:lang w:val="en-US" w:eastAsia="zh-CN"/>
        </w:rPr>
        <w:tab/>
      </w:r>
      <w:r>
        <w:rPr>
          <w:rFonts w:hint="eastAsia" w:ascii="楷体" w:hAnsi="楷体" w:eastAsia="楷体" w:cs="楷体"/>
          <w:sz w:val="28"/>
          <w:szCs w:val="28"/>
          <w:lang w:val="en-US" w:eastAsia="zh-CN"/>
        </w:rPr>
        <w:t>1</w:t>
      </w:r>
      <w:r>
        <w:rPr>
          <w:rFonts w:hint="eastAsia" w:ascii="楷体" w:hAnsi="楷体" w:eastAsia="楷体" w:cs="楷体"/>
          <w:sz w:val="28"/>
          <w:szCs w:val="28"/>
          <w:lang w:val="en-US" w:eastAsia="zh-CN"/>
        </w:rPr>
        <w:fldChar w:fldCharType="end"/>
      </w:r>
      <w:r>
        <w:rPr>
          <w:rFonts w:hint="eastAsia" w:ascii="楷体" w:hAnsi="楷体" w:eastAsia="楷体" w:cs="楷体"/>
          <w:sz w:val="28"/>
          <w:szCs w:val="28"/>
          <w:lang w:val="en-US" w:eastAsia="zh-CN"/>
        </w:rPr>
        <w:t>1</w:t>
      </w:r>
    </w:p>
    <w:p>
      <w:pPr>
        <w:pStyle w:val="5"/>
        <w:keepNext w:val="0"/>
        <w:keepLines w:val="0"/>
        <w:pageBreakBefore w:val="0"/>
        <w:widowControl w:val="0"/>
        <w:tabs>
          <w:tab w:val="right" w:leader="dot" w:pos="8312"/>
        </w:tabs>
        <w:kinsoku/>
        <w:wordWrap/>
        <w:overflowPunct/>
        <w:topLinePunct w:val="0"/>
        <w:autoSpaceDE/>
        <w:autoSpaceDN/>
        <w:bidi w:val="0"/>
        <w:adjustRightInd/>
        <w:snapToGrid/>
        <w:spacing w:line="480" w:lineRule="auto"/>
        <w:textAlignment w:val="auto"/>
        <w:rPr>
          <w:rFonts w:hint="default" w:ascii="楷体" w:hAnsi="楷体" w:eastAsia="楷体" w:cs="楷体"/>
          <w:sz w:val="28"/>
          <w:szCs w:val="28"/>
          <w:lang w:val="en-US" w:eastAsia="zh-CN"/>
        </w:rPr>
      </w:pPr>
      <w:r>
        <w:rPr>
          <w:rFonts w:hint="eastAsia" w:ascii="楷体" w:hAnsi="楷体" w:eastAsia="楷体" w:cs="楷体"/>
          <w:spacing w:val="20"/>
          <w:sz w:val="28"/>
          <w:szCs w:val="28"/>
        </w:rPr>
        <w:fldChar w:fldCharType="begin"/>
      </w:r>
      <w:r>
        <w:rPr>
          <w:rFonts w:hint="eastAsia" w:ascii="楷体" w:hAnsi="楷体" w:eastAsia="楷体" w:cs="楷体"/>
          <w:spacing w:val="20"/>
          <w:sz w:val="28"/>
          <w:szCs w:val="28"/>
        </w:rPr>
        <w:instrText xml:space="preserve"> HYPERLINK \l _Toc3233 </w:instrText>
      </w:r>
      <w:r>
        <w:rPr>
          <w:rFonts w:hint="eastAsia" w:ascii="楷体" w:hAnsi="楷体" w:eastAsia="楷体" w:cs="楷体"/>
          <w:spacing w:val="20"/>
          <w:sz w:val="28"/>
          <w:szCs w:val="28"/>
        </w:rPr>
        <w:fldChar w:fldCharType="separate"/>
      </w:r>
      <w:r>
        <w:rPr>
          <w:rFonts w:hint="eastAsia" w:ascii="楷体" w:hAnsi="楷体" w:eastAsia="楷体" w:cs="楷体"/>
          <w:bCs/>
          <w:sz w:val="28"/>
          <w:szCs w:val="28"/>
        </w:rPr>
        <w:t>第四章 评审标准</w:t>
      </w:r>
      <w:r>
        <w:rPr>
          <w:rFonts w:hint="eastAsia" w:ascii="楷体" w:hAnsi="楷体" w:eastAsia="楷体" w:cs="楷体"/>
          <w:sz w:val="28"/>
          <w:szCs w:val="28"/>
        </w:rPr>
        <w:tab/>
      </w:r>
      <w:r>
        <w:rPr>
          <w:rFonts w:hint="eastAsia" w:ascii="楷体" w:hAnsi="楷体" w:eastAsia="楷体" w:cs="楷体"/>
          <w:spacing w:val="20"/>
          <w:sz w:val="28"/>
          <w:szCs w:val="28"/>
        </w:rPr>
        <w:fldChar w:fldCharType="end"/>
      </w:r>
      <w:r>
        <w:rPr>
          <w:rFonts w:hint="eastAsia" w:ascii="楷体" w:hAnsi="楷体" w:eastAsia="楷体" w:cs="楷体"/>
          <w:sz w:val="28"/>
          <w:szCs w:val="28"/>
          <w:lang w:val="en-US" w:eastAsia="zh-CN"/>
        </w:rPr>
        <w:t>12</w:t>
      </w:r>
    </w:p>
    <w:p>
      <w:pPr>
        <w:pStyle w:val="5"/>
        <w:keepNext w:val="0"/>
        <w:keepLines w:val="0"/>
        <w:pageBreakBefore w:val="0"/>
        <w:widowControl w:val="0"/>
        <w:tabs>
          <w:tab w:val="right" w:leader="dot" w:pos="8312"/>
        </w:tabs>
        <w:kinsoku/>
        <w:wordWrap/>
        <w:overflowPunct/>
        <w:topLinePunct w:val="0"/>
        <w:autoSpaceDE/>
        <w:autoSpaceDN/>
        <w:bidi w:val="0"/>
        <w:adjustRightInd/>
        <w:snapToGrid/>
        <w:spacing w:line="480" w:lineRule="auto"/>
        <w:textAlignment w:val="auto"/>
        <w:rPr>
          <w:rFonts w:hint="default" w:ascii="楷体" w:hAnsi="楷体" w:eastAsia="楷体" w:cs="楷体"/>
          <w:sz w:val="28"/>
          <w:szCs w:val="28"/>
          <w:lang w:val="en-US" w:eastAsia="zh-CN"/>
        </w:rPr>
      </w:pPr>
      <w:r>
        <w:rPr>
          <w:rFonts w:hint="eastAsia" w:ascii="楷体" w:hAnsi="楷体" w:eastAsia="楷体" w:cs="楷体"/>
          <w:spacing w:val="20"/>
          <w:sz w:val="28"/>
          <w:szCs w:val="28"/>
        </w:rPr>
        <w:fldChar w:fldCharType="begin"/>
      </w:r>
      <w:r>
        <w:rPr>
          <w:rFonts w:hint="eastAsia" w:ascii="楷体" w:hAnsi="楷体" w:eastAsia="楷体" w:cs="楷体"/>
          <w:spacing w:val="20"/>
          <w:sz w:val="28"/>
          <w:szCs w:val="28"/>
        </w:rPr>
        <w:instrText xml:space="preserve"> HYPERLINK \l _Toc4982 </w:instrText>
      </w:r>
      <w:r>
        <w:rPr>
          <w:rFonts w:hint="eastAsia" w:ascii="楷体" w:hAnsi="楷体" w:eastAsia="楷体" w:cs="楷体"/>
          <w:spacing w:val="20"/>
          <w:sz w:val="28"/>
          <w:szCs w:val="28"/>
        </w:rPr>
        <w:fldChar w:fldCharType="separate"/>
      </w:r>
      <w:r>
        <w:rPr>
          <w:rFonts w:hint="eastAsia" w:ascii="楷体" w:hAnsi="楷体" w:eastAsia="楷体" w:cs="楷体"/>
          <w:bCs/>
          <w:sz w:val="28"/>
          <w:szCs w:val="28"/>
          <w:lang w:eastAsia="zh-CN"/>
        </w:rPr>
        <w:t>第五章</w:t>
      </w:r>
      <w:r>
        <w:rPr>
          <w:rFonts w:hint="eastAsia" w:ascii="楷体" w:hAnsi="楷体" w:eastAsia="楷体" w:cs="楷体"/>
          <w:bCs/>
          <w:sz w:val="28"/>
          <w:szCs w:val="28"/>
          <w:lang w:val="en-US" w:eastAsia="zh-CN"/>
        </w:rPr>
        <w:t xml:space="preserve"> 招标文件格式</w:t>
      </w:r>
      <w:r>
        <w:rPr>
          <w:rFonts w:hint="eastAsia" w:ascii="楷体" w:hAnsi="楷体" w:eastAsia="楷体" w:cs="楷体"/>
          <w:sz w:val="28"/>
          <w:szCs w:val="28"/>
        </w:rPr>
        <w:tab/>
      </w:r>
      <w:r>
        <w:rPr>
          <w:rFonts w:hint="eastAsia" w:ascii="楷体" w:hAnsi="楷体" w:eastAsia="楷体" w:cs="楷体"/>
          <w:spacing w:val="20"/>
          <w:sz w:val="28"/>
          <w:szCs w:val="28"/>
        </w:rPr>
        <w:fldChar w:fldCharType="end"/>
      </w:r>
      <w:r>
        <w:rPr>
          <w:rFonts w:hint="eastAsia" w:ascii="楷体" w:hAnsi="楷体" w:eastAsia="楷体" w:cs="楷体"/>
          <w:sz w:val="28"/>
          <w:szCs w:val="28"/>
          <w:lang w:val="en-US" w:eastAsia="zh-CN"/>
        </w:rPr>
        <w:t>14</w:t>
      </w:r>
    </w:p>
    <w:p>
      <w:pPr>
        <w:keepNext w:val="0"/>
        <w:keepLines w:val="0"/>
        <w:pageBreakBefore w:val="0"/>
        <w:widowControl w:val="0"/>
        <w:kinsoku/>
        <w:wordWrap/>
        <w:overflowPunct/>
        <w:topLinePunct w:val="0"/>
        <w:autoSpaceDE/>
        <w:autoSpaceDN/>
        <w:bidi w:val="0"/>
        <w:adjustRightInd/>
        <w:snapToGrid/>
        <w:spacing w:before="156" w:beforeLines="50" w:after="156" w:afterLines="50" w:line="480" w:lineRule="auto"/>
        <w:textAlignment w:val="auto"/>
        <w:rPr>
          <w:rFonts w:hint="eastAsia" w:ascii="楷体" w:hAnsi="楷体" w:eastAsia="楷体"/>
          <w:spacing w:val="20"/>
          <w:sz w:val="28"/>
          <w:szCs w:val="28"/>
        </w:rPr>
      </w:pPr>
      <w:r>
        <w:rPr>
          <w:rFonts w:hint="eastAsia" w:ascii="楷体" w:hAnsi="楷体" w:eastAsia="楷体" w:cs="楷体"/>
          <w:spacing w:val="20"/>
          <w:sz w:val="28"/>
          <w:szCs w:val="28"/>
        </w:rPr>
        <w:fldChar w:fldCharType="end"/>
      </w:r>
    </w:p>
    <w:p>
      <w:pPr>
        <w:keepNext w:val="0"/>
        <w:keepLines w:val="0"/>
        <w:pageBreakBefore w:val="0"/>
        <w:widowControl w:val="0"/>
        <w:kinsoku/>
        <w:wordWrap/>
        <w:overflowPunct/>
        <w:topLinePunct w:val="0"/>
        <w:autoSpaceDE/>
        <w:autoSpaceDN/>
        <w:bidi w:val="0"/>
        <w:adjustRightInd/>
        <w:snapToGrid/>
        <w:spacing w:after="469" w:afterLines="150" w:line="600" w:lineRule="exact"/>
        <w:jc w:val="center"/>
        <w:textAlignment w:val="auto"/>
        <w:rPr>
          <w:rStyle w:val="12"/>
          <w:rFonts w:hint="eastAsia"/>
          <w:lang w:val="en-US" w:eastAsia="zh-CN"/>
        </w:rPr>
      </w:pPr>
      <w:r>
        <w:rPr>
          <w:rFonts w:hint="eastAsia" w:ascii="楷体" w:hAnsi="楷体" w:eastAsia="楷体"/>
          <w:sz w:val="30"/>
          <w:szCs w:val="30"/>
        </w:rPr>
        <w:br w:type="page"/>
      </w:r>
      <w:bookmarkStart w:id="0" w:name="_Toc17506"/>
      <w:r>
        <w:rPr>
          <w:rStyle w:val="12"/>
          <w:rFonts w:hint="eastAsia"/>
          <w:lang w:eastAsia="zh-CN"/>
        </w:rPr>
        <w:t>第一章</w:t>
      </w:r>
      <w:r>
        <w:rPr>
          <w:rStyle w:val="12"/>
          <w:rFonts w:hint="eastAsia"/>
          <w:lang w:val="en-US" w:eastAsia="zh-CN"/>
        </w:rPr>
        <w:t xml:space="preserve"> 招标公告</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安徽安诚金融控股集团有限公司2020年非公开发行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center"/>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公司债券主承销商招标公告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招标事项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lang w:val="en-US" w:eastAsia="zh-CN"/>
        </w:rPr>
        <w:t>本招标项目为安徽安诚金融控股集团有限公司（以下简称“安诚金融”）2020年非公开发行公司债券主承销商评选，招标人为安徽安诚金融控股集团有限公司，招标方式为自主公开招标。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项目概况与要求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Chars="0"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项目概况：</w:t>
      </w:r>
      <w:r>
        <w:rPr>
          <w:rFonts w:hint="eastAsia" w:ascii="楷体" w:hAnsi="楷体" w:eastAsia="楷体" w:cs="楷体"/>
          <w:sz w:val="24"/>
        </w:rPr>
        <w:t>安诚金融拟在上海证券交易所申请注册不超过10亿元人民币的非公开发行公司债券（以下简称：“公司债”），现对其公司债的主承销商进行招标。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（二）招标范围：主承销商能够尽职尽责高效圆满的完成公司债的注册发行工作、组织承销团完成承销工作，并协调配合安诚金融组织律师、审计和评级等机构完成公司债的发行及后续管理工作等。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bCs/>
          <w:sz w:val="24"/>
          <w:szCs w:val="24"/>
          <w:lang w:val="en-US" w:eastAsia="zh-CN"/>
        </w:rPr>
      </w:pPr>
      <w:r>
        <w:rPr>
          <w:rFonts w:hint="eastAsia" w:ascii="楷体" w:hAnsi="楷体" w:eastAsia="楷体" w:cs="楷体"/>
          <w:sz w:val="24"/>
          <w:szCs w:val="24"/>
          <w:lang w:val="en-US" w:eastAsia="zh-CN"/>
        </w:rPr>
        <w:t>（三）</w:t>
      </w:r>
      <w:r>
        <w:rPr>
          <w:rFonts w:hint="eastAsia" w:ascii="楷体" w:hAnsi="楷体" w:eastAsia="楷体" w:cs="楷体"/>
          <w:b/>
          <w:bCs/>
          <w:sz w:val="24"/>
          <w:szCs w:val="24"/>
          <w:lang w:val="en-US" w:eastAsia="zh-CN"/>
        </w:rPr>
        <w:t>招标品种：非公开发行公司债券，金额不超过10亿元，币种为人民币，具体金额以审批金额为准，未审批的额度作废。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（四）发行期限：以最终实际注册期限为准。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kern w:val="2"/>
          <w:sz w:val="24"/>
          <w:szCs w:val="24"/>
          <w:lang w:val="en-US" w:eastAsia="zh-CN" w:bidi="ar-SA"/>
        </w:rPr>
      </w:pPr>
      <w:r>
        <w:rPr>
          <w:rFonts w:hint="eastAsia" w:ascii="楷体" w:hAnsi="楷体" w:eastAsia="楷体" w:cs="楷体"/>
          <w:kern w:val="2"/>
          <w:sz w:val="24"/>
          <w:szCs w:val="24"/>
          <w:lang w:val="en-US" w:eastAsia="zh-CN" w:bidi="ar-SA"/>
        </w:rPr>
        <w:t>（五）承销方式：余额包销。</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kern w:val="2"/>
          <w:sz w:val="24"/>
          <w:szCs w:val="24"/>
          <w:highlight w:val="none"/>
          <w:lang w:val="en-US" w:eastAsia="zh-CN" w:bidi="ar-SA"/>
        </w:rPr>
      </w:pPr>
      <w:r>
        <w:rPr>
          <w:rFonts w:hint="eastAsia" w:ascii="楷体" w:hAnsi="楷体" w:eastAsia="楷体" w:cs="楷体"/>
          <w:kern w:val="2"/>
          <w:sz w:val="24"/>
          <w:szCs w:val="24"/>
          <w:highlight w:val="none"/>
          <w:lang w:val="en-US" w:eastAsia="zh-CN" w:bidi="ar-SA"/>
        </w:rPr>
        <w:t>（六）最高投标限价：本项目以发行金额为基数，按年化费率方式投标报价，承销费率最高不得超过3‰/年。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三、投标人资格要求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（一）基本要求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2、具有良好的商业信誉和健全的财务会计制度；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3、具有履行合同所必需的设备和专业技术能力；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4、有依法缴纳税收和社会保障资金的良好记录；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5、近三年来，在经营活动中没有重大违法记录；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200" w:firstLineChars="5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（二）本次招标要求投标人须是中国境内合法经营的具有交易所公司债承销资质的券商，只接受券商总部参与竞标。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（三）本次招标券商单独参标，评选分为两轮，第一轮根据债券综合得分先后顺序确定债券中标候选人，第二轮进行竞争性谈判，首轮只接受</w:t>
      </w:r>
      <w:r>
        <w:rPr>
          <w:rFonts w:hint="eastAsia" w:ascii="楷体" w:hAnsi="楷体" w:eastAsia="楷体" w:cs="楷体"/>
          <w:b/>
          <w:bCs/>
          <w:sz w:val="24"/>
          <w:szCs w:val="24"/>
          <w:lang w:val="en-US" w:eastAsia="zh-CN"/>
        </w:rPr>
        <w:t>单个券商</w:t>
      </w:r>
      <w:r>
        <w:rPr>
          <w:rFonts w:hint="eastAsia" w:ascii="楷体" w:hAnsi="楷体" w:eastAsia="楷体" w:cs="楷体"/>
          <w:sz w:val="24"/>
          <w:szCs w:val="24"/>
          <w:lang w:val="en-US" w:eastAsia="zh-CN"/>
        </w:rPr>
        <w:t>参与招标，二轮根据中标候选人综合实力进行竞争性谈判。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四、招标文件的获取与解释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凡有意参加投标者，请于投标文件递交截止时间前到建安投资控股集团有限公司官网（http://www.jahg.com.cn/）、</w:t>
      </w:r>
      <w:r>
        <w:rPr>
          <w:rFonts w:hint="eastAsia" w:ascii="楷体" w:hAnsi="楷体" w:eastAsia="楷体" w:cs="楷体"/>
          <w:sz w:val="24"/>
          <w:szCs w:val="24"/>
          <w:highlight w:val="none"/>
          <w:lang w:val="en-US" w:eastAsia="zh-CN"/>
        </w:rPr>
        <w:t>安徽安诚金融控股集团有限公司官网（http://www.ahacf.com.cn/）</w:t>
      </w:r>
      <w:r>
        <w:rPr>
          <w:rFonts w:hint="eastAsia" w:ascii="楷体" w:hAnsi="楷体" w:eastAsia="楷体" w:cs="楷体"/>
          <w:sz w:val="24"/>
          <w:szCs w:val="24"/>
          <w:lang w:val="en-US" w:eastAsia="zh-CN"/>
        </w:rPr>
        <w:t>自行下载招标文件及其它附件。若对招标文件具体条款有疑问，可咨询本公司联系人。</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投标文件的递交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（一）任何拟参选本期公司债主承销商的券商，请务必在</w:t>
      </w:r>
      <w:r>
        <w:rPr>
          <w:rFonts w:hint="eastAsia" w:ascii="楷体" w:hAnsi="楷体" w:eastAsia="楷体" w:cs="楷体"/>
          <w:b/>
          <w:bCs/>
          <w:sz w:val="24"/>
          <w:szCs w:val="24"/>
          <w:lang w:val="en-US" w:eastAsia="zh-CN"/>
        </w:rPr>
        <w:t>2020年8月28日16:00</w:t>
      </w:r>
      <w:r>
        <w:rPr>
          <w:rFonts w:hint="eastAsia" w:ascii="楷体" w:hAnsi="楷体" w:eastAsia="楷体" w:cs="楷体"/>
          <w:sz w:val="24"/>
          <w:szCs w:val="24"/>
          <w:lang w:val="en-US" w:eastAsia="zh-CN"/>
        </w:rPr>
        <w:t>点前将参评意向书邮寄、递交或传真给安诚金融。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（二）在规定时间内递交参评意向书的投标主体方可参加投标，投标文件递交的截止时间（投标截止时间，下同）为</w:t>
      </w:r>
      <w:r>
        <w:rPr>
          <w:rFonts w:hint="eastAsia" w:ascii="楷体" w:hAnsi="楷体" w:eastAsia="楷体" w:cs="楷体"/>
          <w:b/>
          <w:bCs/>
          <w:sz w:val="24"/>
          <w:szCs w:val="24"/>
          <w:lang w:val="en-US" w:eastAsia="zh-CN"/>
        </w:rPr>
        <w:t>2020年8月31日16：00</w:t>
      </w:r>
      <w:r>
        <w:rPr>
          <w:rFonts w:hint="eastAsia" w:ascii="楷体" w:hAnsi="楷体" w:eastAsia="楷体" w:cs="楷体"/>
          <w:sz w:val="24"/>
          <w:szCs w:val="24"/>
          <w:lang w:val="en-US" w:eastAsia="zh-CN"/>
        </w:rPr>
        <w:t>点，地点为安诚金融二楼投融资部（安徽省合肥市滨湖新区徽州大道6699号滨湖时代广场G1幢）。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（三）投标文件具体要求、份数等请参照招标方案具体标准制作。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（四）逾期送达的、未送达指定地点的或者不按照招标文件要求密封的投标文件，招标人将予以拒收。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b/>
          <w:bCs/>
          <w:sz w:val="24"/>
          <w:szCs w:val="24"/>
          <w:lang w:val="en-US" w:eastAsia="zh-CN"/>
        </w:rPr>
        <w:t>六、发布公告的媒介</w:t>
      </w:r>
      <w:bookmarkStart w:id="5" w:name="_GoBack"/>
      <w:bookmarkEnd w:id="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本次招标公告在建安集团官网（http://www.jahg.com.cn/）、安诚金融官网</w:t>
      </w:r>
      <w:r>
        <w:rPr>
          <w:rFonts w:hint="eastAsia" w:ascii="楷体" w:hAnsi="楷体" w:eastAsia="楷体" w:cs="楷体"/>
          <w:sz w:val="24"/>
          <w:szCs w:val="24"/>
          <w:highlight w:val="none"/>
          <w:lang w:val="en-US" w:eastAsia="zh-CN"/>
        </w:rPr>
        <w:t>（http://www.ahacf.com.cn/）</w:t>
      </w:r>
      <w:r>
        <w:rPr>
          <w:rFonts w:hint="eastAsia" w:ascii="楷体" w:hAnsi="楷体" w:eastAsia="楷体" w:cs="楷体"/>
          <w:sz w:val="24"/>
          <w:szCs w:val="24"/>
          <w:lang w:val="en-US" w:eastAsia="zh-CN"/>
        </w:rPr>
        <w:t>上发布。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七、联系方式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招 标 人：安徽安诚金融控股集团有限公司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地    址：合肥市滨湖新区徽州大道6699号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邮    编：236800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联 系 人：高工  18355913556；桂工19956021860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电子邮箱：gaoeryang@jahg.com.cn、guilong@jahg.com.cn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left"/>
        <w:textAlignment w:val="auto"/>
        <w:rPr>
          <w:rFonts w:hint="eastAsia" w:ascii="楷体" w:hAnsi="楷体" w:eastAsia="楷体" w:cs="楷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w:t>
      </w:r>
    </w:p>
    <w:p>
      <w:pPr>
        <w:pStyle w:val="2"/>
        <w:pageBreakBefore w:val="0"/>
        <w:widowControl w:val="0"/>
        <w:kinsoku/>
        <w:wordWrap/>
        <w:overflowPunct/>
        <w:topLinePunct w:val="0"/>
        <w:autoSpaceDE/>
        <w:autoSpaceDN/>
        <w:bidi w:val="0"/>
        <w:adjustRightInd/>
        <w:snapToGrid/>
        <w:spacing w:line="240" w:lineRule="auto"/>
        <w:jc w:val="right"/>
        <w:textAlignment w:val="auto"/>
        <w:rPr>
          <w:rFonts w:hint="default" w:ascii="楷体" w:hAnsi="楷体" w:eastAsia="楷体" w:cs="楷体"/>
          <w:b w:val="0"/>
          <w:bCs w:val="0"/>
          <w:kern w:val="2"/>
          <w:sz w:val="24"/>
          <w:szCs w:val="24"/>
          <w:lang w:val="en-US" w:eastAsia="zh-CN" w:bidi="ar-SA"/>
        </w:rPr>
      </w:pPr>
      <w:bookmarkStart w:id="1" w:name="_Toc5807"/>
      <w:r>
        <w:rPr>
          <w:rFonts w:hint="eastAsia" w:ascii="楷体" w:hAnsi="楷体" w:eastAsia="楷体" w:cs="楷体"/>
          <w:b w:val="0"/>
          <w:bCs w:val="0"/>
          <w:kern w:val="2"/>
          <w:sz w:val="24"/>
          <w:szCs w:val="24"/>
          <w:lang w:val="en-US" w:eastAsia="zh-CN" w:bidi="ar-SA"/>
        </w:rPr>
        <w:t>安徽安诚金融控股集团有限公司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right"/>
        <w:textAlignment w:val="auto"/>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 xml:space="preserve"> 2020年8月11日</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bidi w:val="0"/>
        <w:jc w:val="center"/>
        <w:rPr>
          <w:rFonts w:hint="eastAsia"/>
          <w:lang w:val="en-US" w:eastAsia="zh-CN"/>
        </w:rPr>
      </w:pPr>
    </w:p>
    <w:p>
      <w:pPr>
        <w:pStyle w:val="2"/>
        <w:bidi w:val="0"/>
        <w:jc w:val="cente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2"/>
        <w:bidi w:val="0"/>
        <w:jc w:val="center"/>
        <w:rPr>
          <w:rFonts w:hint="eastAsia"/>
          <w:lang w:val="en-US" w:eastAsia="zh-CN"/>
        </w:rPr>
      </w:pPr>
      <w:r>
        <w:rPr>
          <w:rFonts w:hint="eastAsia"/>
          <w:lang w:val="en-US" w:eastAsia="zh-CN"/>
        </w:rPr>
        <w:t>第二章 投标人须知</w:t>
      </w:r>
      <w:bookmarkEnd w:id="1"/>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876"/>
        <w:gridCol w:w="5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trPr>
        <w:tc>
          <w:tcPr>
            <w:tcW w:w="964" w:type="dxa"/>
            <w:noWrap w:val="0"/>
            <w:vAlign w:val="top"/>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b/>
                <w:bCs/>
                <w:sz w:val="24"/>
                <w:szCs w:val="24"/>
                <w:u w:val="none"/>
                <w:vertAlign w:val="baseline"/>
                <w:lang w:val="en-US" w:eastAsia="zh-CN"/>
              </w:rPr>
            </w:pPr>
            <w:r>
              <w:rPr>
                <w:rFonts w:hint="eastAsia" w:ascii="楷体" w:hAnsi="楷体" w:eastAsia="楷体" w:cs="楷体"/>
                <w:b/>
                <w:bCs/>
                <w:sz w:val="24"/>
                <w:szCs w:val="24"/>
                <w:u w:val="none"/>
                <w:vertAlign w:val="baseline"/>
                <w:lang w:val="en-US" w:eastAsia="zh-CN"/>
              </w:rPr>
              <w:t>条款号</w:t>
            </w:r>
          </w:p>
        </w:tc>
        <w:tc>
          <w:tcPr>
            <w:tcW w:w="1876" w:type="dxa"/>
            <w:noWrap w:val="0"/>
            <w:vAlign w:val="top"/>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b/>
                <w:bCs/>
                <w:sz w:val="24"/>
                <w:szCs w:val="24"/>
                <w:u w:val="none"/>
                <w:vertAlign w:val="baseline"/>
                <w:lang w:val="en-US" w:eastAsia="zh-CN"/>
              </w:rPr>
            </w:pPr>
            <w:r>
              <w:rPr>
                <w:rFonts w:hint="eastAsia" w:ascii="楷体" w:hAnsi="楷体" w:eastAsia="楷体" w:cs="楷体"/>
                <w:b/>
                <w:bCs/>
                <w:sz w:val="24"/>
                <w:szCs w:val="24"/>
                <w:u w:val="none"/>
                <w:vertAlign w:val="baseline"/>
                <w:lang w:val="en-US" w:eastAsia="zh-CN"/>
              </w:rPr>
              <w:t>条款名称</w:t>
            </w:r>
          </w:p>
        </w:tc>
        <w:tc>
          <w:tcPr>
            <w:tcW w:w="5682" w:type="dxa"/>
            <w:noWrap w:val="0"/>
            <w:vAlign w:val="top"/>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b/>
                <w:bCs/>
                <w:sz w:val="24"/>
                <w:szCs w:val="24"/>
                <w:u w:val="none"/>
                <w:vertAlign w:val="baseline"/>
                <w:lang w:val="en-US" w:eastAsia="zh-CN"/>
              </w:rPr>
            </w:pPr>
            <w:r>
              <w:rPr>
                <w:rFonts w:hint="eastAsia" w:ascii="楷体" w:hAnsi="楷体" w:eastAsia="楷体" w:cs="楷体"/>
                <w:b/>
                <w:bCs/>
                <w:sz w:val="24"/>
                <w:szCs w:val="24"/>
                <w:u w:val="none"/>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招标人</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名称：</w:t>
            </w:r>
            <w:r>
              <w:rPr>
                <w:rFonts w:hint="eastAsia" w:ascii="楷体" w:hAnsi="楷体" w:eastAsia="楷体" w:cs="楷体"/>
                <w:sz w:val="24"/>
                <w:u w:val="none"/>
              </w:rPr>
              <w:t>安徽安诚金融控股集团有限公司</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地址：</w:t>
            </w:r>
            <w:r>
              <w:rPr>
                <w:rFonts w:hint="eastAsia" w:ascii="楷体" w:hAnsi="楷体" w:eastAsia="楷体" w:cs="楷体"/>
                <w:sz w:val="24"/>
                <w:szCs w:val="24"/>
                <w:lang w:val="en-US" w:eastAsia="zh-CN"/>
              </w:rPr>
              <w:t>合肥市滨湖新区徽州大道6699号</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联系人：桂工</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电话：19956021860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招标项目名称</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u w:val="none"/>
              </w:rPr>
              <w:t>安徽安诚金融控股集团有限公司2020年非公开发行公司债券主承销商</w:t>
            </w:r>
            <w:r>
              <w:rPr>
                <w:rFonts w:hint="eastAsia" w:ascii="楷体" w:hAnsi="楷体" w:eastAsia="楷体" w:cs="楷体"/>
                <w:sz w:val="24"/>
                <w:szCs w:val="24"/>
                <w:u w:val="none"/>
                <w:vertAlign w:val="baseline"/>
                <w:lang w:val="en-US" w:eastAsia="zh-CN"/>
              </w:rPr>
              <w:t>招标项目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3</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项目概况</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安诚金融拟发行总额不超过10亿元的公司债，现对其公司债的主承销商进行招标。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4</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招标范围</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主承销商负责组织中介机构设计发行方案、制作申报材料、推进公司债的注册、组织承销团承销，并配合发行人完成公司债的发行及后续工作等。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5</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发行期限</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以最终实际注册期限为准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6</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承销方式</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余额包销，不允许代销。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7</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shd w:val="clear" w:color="auto" w:fill="auto"/>
                <w:vertAlign w:val="baseline"/>
                <w:lang w:val="en-US" w:eastAsia="zh-CN"/>
              </w:rPr>
              <w:t>投标人资格要求</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基本要求：具有独立承担民事责任的能力；具有良好的商业信誉和健全的财务会计制度；具有履行合同所必需的设备和专业技术能力；有依法缴纳税收和社会保障资金的良好记录；近三年来，在经营活动中没有重大违法记录；法律、行政法规规定的其他条件。</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w:t>
            </w:r>
            <w:r>
              <w:rPr>
                <w:rFonts w:hint="eastAsia" w:ascii="楷体" w:hAnsi="楷体" w:eastAsia="楷体" w:cs="楷体"/>
                <w:sz w:val="24"/>
                <w:u w:val="none"/>
                <w:shd w:val="clear" w:color="auto" w:fill="auto"/>
              </w:rPr>
              <w:t>本次招标要求投标人须是中国境内合法经营的具有交易所公司债承销资质的券商，只接受券商总部参与竞标。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8</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是否接受联合体投标</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9</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投标人不得存在的情形</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执行相关法律法规规定，若存在违反相关法律规定的情况，直接取消中标资格。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10</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highlight w:val="none"/>
                <w:u w:val="none"/>
                <w:shd w:val="clear" w:color="FFFFFF" w:fill="D9D9D9"/>
                <w:vertAlign w:val="baseline"/>
                <w:lang w:val="en-US" w:eastAsia="zh-CN"/>
              </w:rPr>
            </w:pPr>
            <w:r>
              <w:rPr>
                <w:rFonts w:hint="eastAsia" w:ascii="楷体" w:hAnsi="楷体" w:eastAsia="楷体" w:cs="楷体"/>
                <w:sz w:val="24"/>
                <w:szCs w:val="24"/>
                <w:highlight w:val="none"/>
                <w:u w:val="none"/>
                <w:shd w:val="clear" w:color="auto" w:fill="auto"/>
                <w:vertAlign w:val="baseline"/>
                <w:lang w:val="en-US" w:eastAsia="zh-CN"/>
              </w:rPr>
              <w:t>实质性要求和条件</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b w:val="0"/>
                <w:bCs w:val="0"/>
                <w:sz w:val="24"/>
                <w:szCs w:val="24"/>
                <w:u w:val="none"/>
                <w:shd w:val="clear" w:color="auto" w:fill="auto"/>
                <w:vertAlign w:val="baseline"/>
                <w:lang w:val="en-US" w:eastAsia="zh-CN"/>
              </w:rPr>
              <w:t>发行利率不高于本期公司债发行日前（包含发行日）一个月内，同行业同级别同期限相应的非公开发行公司债的平均利率。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11</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highlight w:val="none"/>
                <w:u w:val="none"/>
                <w:shd w:val="clear" w:color="auto" w:fill="auto"/>
                <w:vertAlign w:val="baseline"/>
                <w:lang w:val="en-US" w:eastAsia="zh-CN"/>
              </w:rPr>
            </w:pPr>
            <w:r>
              <w:rPr>
                <w:rFonts w:hint="eastAsia" w:ascii="楷体" w:hAnsi="楷体" w:eastAsia="楷体" w:cs="楷体"/>
                <w:sz w:val="24"/>
                <w:szCs w:val="24"/>
                <w:highlight w:val="none"/>
                <w:u w:val="none"/>
                <w:shd w:val="clear" w:color="auto" w:fill="auto"/>
                <w:vertAlign w:val="baseline"/>
                <w:lang w:val="en-US" w:eastAsia="zh-CN"/>
              </w:rPr>
              <w:t>投标保证金</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是否要求投标人递交投标保证金：</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sym w:font="Wingdings 2" w:char="0052"/>
            </w:r>
            <w:r>
              <w:rPr>
                <w:rFonts w:hint="eastAsia" w:ascii="楷体" w:hAnsi="楷体" w:eastAsia="楷体" w:cs="楷体"/>
                <w:sz w:val="24"/>
                <w:szCs w:val="24"/>
                <w:u w:val="none"/>
                <w:shd w:val="clear" w:color="auto" w:fill="auto"/>
                <w:vertAlign w:val="baseline"/>
                <w:lang w:val="en-US" w:eastAsia="zh-CN"/>
              </w:rPr>
              <w:t>要求</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投标保证金的形式：银行汇款或转账</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投标保证金的金额：人民币（大写）伍万元整，（小写）50000元。</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收取投标保证金的账号信息：</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开户名称：安徽安诚金融控股集团有限公司</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开户银行：亳州药都银行营业部</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银行账号：20000399754410300000163</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其他要求：</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投标保证金必须在投标截止时间前，由投标人或投标人授权的代理人银行账户汇入到指定银行账号，确保银行记录可查询，转账或电汇时须在附言处备注“安诚金融公司债投标保证金”，否则，责任自负。</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投标保证金以到账时间为准，未按时汇入或收款银行账号错误无法判定保证金对应关系的，保证金无效；现金存入或以其他方式存入（转入）的视为无效。</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投标保证金的退还（无息）：</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招标不成功（或开标现场拒收投标文件）的，5日内直接退还至该投标人或招标人授权的代理人汇出帐户。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12</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highlight w:val="none"/>
                <w:u w:val="none"/>
                <w:shd w:val="clear" w:color="auto" w:fill="auto"/>
                <w:vertAlign w:val="baseline"/>
                <w:lang w:val="en-US" w:eastAsia="zh-CN"/>
              </w:rPr>
            </w:pPr>
            <w:r>
              <w:rPr>
                <w:rFonts w:hint="eastAsia" w:ascii="楷体" w:hAnsi="楷体" w:eastAsia="楷体" w:cs="楷体"/>
                <w:sz w:val="24"/>
                <w:szCs w:val="24"/>
                <w:highlight w:val="none"/>
                <w:u w:val="none"/>
                <w:shd w:val="clear" w:color="auto" w:fill="auto"/>
                <w:vertAlign w:val="baseline"/>
                <w:lang w:val="en-US" w:eastAsia="zh-CN"/>
              </w:rPr>
              <w:t>履约保证金</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是否要求投标人提交履约保证金：</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sym w:font="Wingdings 2" w:char="0052"/>
            </w:r>
            <w:r>
              <w:rPr>
                <w:rFonts w:hint="eastAsia" w:ascii="楷体" w:hAnsi="楷体" w:eastAsia="楷体" w:cs="楷体"/>
                <w:sz w:val="24"/>
                <w:szCs w:val="24"/>
                <w:u w:val="none"/>
                <w:shd w:val="clear" w:color="auto" w:fill="auto"/>
                <w:vertAlign w:val="baseline"/>
                <w:lang w:val="en-US" w:eastAsia="zh-CN"/>
              </w:rPr>
              <w:t>要求</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中标后，投标保证金自动转为履约保证金。</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履约担保的金额：同投标保证金。</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履约保证金的退还：无违约行为发生或违约行为已处理的情况下，债券正式上报交易所10个工作日内退还全部履约保证金（无息）。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13</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highlight w:val="none"/>
                <w:u w:val="none"/>
                <w:shd w:val="clear" w:color="auto" w:fill="auto"/>
                <w:vertAlign w:val="baseline"/>
                <w:lang w:val="en-US" w:eastAsia="zh-CN"/>
              </w:rPr>
            </w:pPr>
            <w:r>
              <w:rPr>
                <w:rFonts w:hint="eastAsia" w:ascii="楷体" w:hAnsi="楷体" w:eastAsia="楷体" w:cs="楷体"/>
                <w:sz w:val="24"/>
                <w:szCs w:val="24"/>
                <w:highlight w:val="none"/>
                <w:u w:val="none"/>
                <w:shd w:val="clear" w:color="auto" w:fill="auto"/>
                <w:vertAlign w:val="baseline"/>
                <w:lang w:val="en-US" w:eastAsia="zh-CN"/>
              </w:rPr>
              <w:t>其他不予退还投标保证金的情形</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vertAlign w:val="baseline"/>
                <w:lang w:val="en-US" w:eastAsia="zh-CN"/>
              </w:rPr>
              <w:t>（1）</w:t>
            </w:r>
            <w:r>
              <w:rPr>
                <w:rFonts w:hint="eastAsia" w:ascii="楷体" w:hAnsi="楷体" w:eastAsia="楷体" w:cs="楷体"/>
                <w:sz w:val="24"/>
                <w:szCs w:val="24"/>
                <w:u w:val="none"/>
                <w:shd w:val="clear" w:color="auto" w:fill="auto"/>
                <w:vertAlign w:val="baseline"/>
                <w:lang w:val="en-US" w:eastAsia="zh-CN"/>
              </w:rPr>
              <w:t>中标人无正当理由不与招标人订立合同，在签订合同时向招标人提出附加条件的，取消其中标资格，投标保证金不予退还；中标人未在中标通知书发出之日起45天内向招标人提供内核批复的；</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（2）投标人采用不正当手段（串通投标、弄虚作假、行贿等）骗取中标的；</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（3）投标人经评标委员会认定为异常低价竞标或不以中标为目的的投标的；</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（4）投标人在投标有效期内撤回投标文件的；</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（5）国家法律法规规定的其他情形。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14</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highlight w:val="none"/>
                <w:u w:val="none"/>
                <w:shd w:val="clear" w:color="auto" w:fill="auto"/>
                <w:vertAlign w:val="baseline"/>
                <w:lang w:val="en-US" w:eastAsia="zh-CN"/>
              </w:rPr>
            </w:pPr>
            <w:r>
              <w:rPr>
                <w:rFonts w:hint="eastAsia" w:ascii="楷体" w:hAnsi="楷体" w:eastAsia="楷体" w:cs="楷体"/>
                <w:sz w:val="24"/>
                <w:szCs w:val="24"/>
                <w:highlight w:val="none"/>
                <w:u w:val="none"/>
                <w:shd w:val="clear" w:color="auto" w:fill="auto"/>
                <w:vertAlign w:val="baseline"/>
                <w:lang w:val="en-US" w:eastAsia="zh-CN"/>
              </w:rPr>
              <w:t>解答与回复</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评标委员会可根据具体情况要求投标人对标书中的具体表述进行解答与回复，现场承诺与纸质承诺效力相等。作为评标参考依据。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15</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构成招标文件的其他资料</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招标人发出的澄清、修改及补充文件等。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16</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投标人要求澄清招标文件</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single"/>
                <w:shd w:val="clear" w:color="auto" w:fill="auto"/>
                <w:vertAlign w:val="baseline"/>
                <w:lang w:val="en-US" w:eastAsia="zh-CN"/>
              </w:rPr>
              <w:t>2020年8月28日</w:t>
            </w:r>
            <w:r>
              <w:rPr>
                <w:rFonts w:hint="eastAsia" w:ascii="楷体" w:hAnsi="楷体" w:eastAsia="楷体" w:cs="楷体"/>
                <w:sz w:val="24"/>
                <w:szCs w:val="24"/>
                <w:u w:val="none"/>
                <w:shd w:val="clear" w:color="auto" w:fill="auto"/>
                <w:vertAlign w:val="baseline"/>
                <w:lang w:val="en-US" w:eastAsia="zh-CN"/>
              </w:rPr>
              <w:t>前，</w:t>
            </w:r>
            <w:r>
              <w:rPr>
                <w:rFonts w:hint="eastAsia" w:ascii="楷体" w:hAnsi="楷体" w:eastAsia="楷体" w:cs="楷体"/>
                <w:sz w:val="24"/>
                <w:szCs w:val="24"/>
                <w:u w:val="none"/>
                <w:vertAlign w:val="baseline"/>
                <w:lang w:val="en-US" w:eastAsia="zh-CN"/>
              </w:rPr>
              <w:t>投标人应仔细阅读和检查招标文件的全部内容。如发现缺页或附件不全，应及时向招标人提出，以便补齐。投标人如对招标文件有任何疑问，应及时与招标人联系，递交纸质材料，要求招标人对招标文件予以澄清。否则，投标人无权再因招标文件等与投标有关的资料而提出质疑、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17</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招标文件澄清、修改及补充</w:t>
            </w:r>
          </w:p>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发出的形式</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single"/>
                <w:shd w:val="clear" w:color="auto" w:fill="auto"/>
                <w:vertAlign w:val="baseline"/>
                <w:lang w:val="en-US" w:eastAsia="zh-CN"/>
              </w:rPr>
              <w:t>2020年8月31日</w:t>
            </w:r>
            <w:r>
              <w:rPr>
                <w:rFonts w:hint="eastAsia" w:ascii="楷体" w:hAnsi="楷体" w:eastAsia="楷体" w:cs="楷体"/>
                <w:sz w:val="24"/>
                <w:szCs w:val="24"/>
                <w:u w:val="none"/>
                <w:shd w:val="clear" w:color="auto" w:fill="auto"/>
                <w:vertAlign w:val="baseline"/>
                <w:lang w:val="en-US" w:eastAsia="zh-CN"/>
              </w:rPr>
              <w:t>前</w:t>
            </w:r>
            <w:r>
              <w:rPr>
                <w:rFonts w:hint="eastAsia" w:ascii="楷体" w:hAnsi="楷体" w:eastAsia="楷体" w:cs="楷体"/>
                <w:sz w:val="24"/>
                <w:szCs w:val="24"/>
                <w:u w:val="none"/>
                <w:vertAlign w:val="baseline"/>
                <w:lang w:val="en-US" w:eastAsia="zh-CN"/>
              </w:rPr>
              <w:t>，招标文件的澄清、修改及补充等将通过</w:t>
            </w:r>
            <w:r>
              <w:rPr>
                <w:rFonts w:hint="eastAsia" w:ascii="楷体" w:hAnsi="楷体" w:eastAsia="楷体" w:cs="楷体"/>
                <w:sz w:val="24"/>
                <w:highlight w:val="none"/>
                <w:u w:val="none"/>
              </w:rPr>
              <w:t>建安集团官网（http://www.jahg.com.cn/）</w:t>
            </w:r>
            <w:r>
              <w:rPr>
                <w:rFonts w:hint="eastAsia" w:ascii="楷体" w:hAnsi="楷体" w:eastAsia="楷体" w:cs="楷体"/>
                <w:sz w:val="24"/>
                <w:szCs w:val="24"/>
                <w:u w:val="none"/>
                <w:vertAlign w:val="baseline"/>
                <w:lang w:val="en-US" w:eastAsia="zh-CN"/>
              </w:rPr>
              <w:t>、</w:t>
            </w:r>
            <w:r>
              <w:rPr>
                <w:rFonts w:hint="eastAsia" w:ascii="楷体" w:hAnsi="楷体" w:eastAsia="楷体" w:cs="楷体"/>
                <w:sz w:val="24"/>
                <w:szCs w:val="24"/>
                <w:lang w:val="en-US" w:eastAsia="zh-CN"/>
              </w:rPr>
              <w:t>安诚金融官网</w:t>
            </w:r>
            <w:r>
              <w:rPr>
                <w:rFonts w:hint="eastAsia" w:ascii="楷体" w:hAnsi="楷体" w:eastAsia="楷体" w:cs="楷体"/>
                <w:sz w:val="24"/>
                <w:szCs w:val="24"/>
                <w:highlight w:val="none"/>
                <w:lang w:val="en-US" w:eastAsia="zh-CN"/>
              </w:rPr>
              <w:t>（http://www.ahacf.com.cn/）、</w:t>
            </w:r>
            <w:r>
              <w:rPr>
                <w:rFonts w:hint="eastAsia" w:ascii="楷体" w:hAnsi="楷体" w:eastAsia="楷体" w:cs="楷体"/>
                <w:sz w:val="24"/>
                <w:szCs w:val="24"/>
                <w:u w:val="none"/>
                <w:vertAlign w:val="baseline"/>
                <w:lang w:val="en-US" w:eastAsia="zh-CN"/>
              </w:rPr>
              <w:t>邮件推送、微信推送或现场纸质文件等方式进行补充。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18</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投标人确认收到招标文件澄清、修改及补充的时间与形式</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招标文件的澄清、修改及补充在</w:t>
            </w:r>
            <w:r>
              <w:rPr>
                <w:rFonts w:hint="eastAsia" w:ascii="楷体" w:hAnsi="楷体" w:eastAsia="楷体" w:cs="楷体"/>
                <w:sz w:val="24"/>
                <w:highlight w:val="none"/>
                <w:u w:val="none"/>
              </w:rPr>
              <w:t>建安集团官网（http://www.jahg.com.cn/）</w:t>
            </w:r>
            <w:r>
              <w:rPr>
                <w:rFonts w:hint="eastAsia" w:ascii="楷体" w:hAnsi="楷体" w:eastAsia="楷体" w:cs="楷体"/>
                <w:sz w:val="24"/>
                <w:szCs w:val="24"/>
                <w:highlight w:val="none"/>
                <w:u w:val="none"/>
                <w:vertAlign w:val="baseline"/>
                <w:lang w:val="en-US" w:eastAsia="zh-CN"/>
              </w:rPr>
              <w:t>、</w:t>
            </w:r>
            <w:r>
              <w:rPr>
                <w:rFonts w:hint="eastAsia" w:ascii="楷体" w:hAnsi="楷体" w:eastAsia="楷体" w:cs="楷体"/>
                <w:sz w:val="24"/>
                <w:szCs w:val="24"/>
                <w:lang w:val="en-US" w:eastAsia="zh-CN"/>
              </w:rPr>
              <w:t>安诚金融官网</w:t>
            </w:r>
            <w:r>
              <w:rPr>
                <w:rFonts w:hint="eastAsia" w:ascii="楷体" w:hAnsi="楷体" w:eastAsia="楷体" w:cs="楷体"/>
                <w:sz w:val="24"/>
                <w:szCs w:val="24"/>
                <w:highlight w:val="none"/>
                <w:lang w:val="en-US" w:eastAsia="zh-CN"/>
              </w:rPr>
              <w:t>（http://www.ahacf.com.cn/）</w:t>
            </w:r>
            <w:r>
              <w:rPr>
                <w:rFonts w:hint="eastAsia" w:ascii="楷体" w:hAnsi="楷体" w:eastAsia="楷体" w:cs="楷体"/>
                <w:sz w:val="24"/>
                <w:szCs w:val="24"/>
                <w:u w:val="none"/>
                <w:vertAlign w:val="baseline"/>
                <w:lang w:val="en-US" w:eastAsia="zh-CN"/>
              </w:rPr>
              <w:t>上的发布时间、邮件推送、微信推送或现场纸质文件接收时间视为投标人确认收到招标文件澄清、修改及补充的时间；</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所有招标及补充文件将在官网进行公布，如因时间原因不能及时公布，其他形式传达具有同样效力。如遇系统故障等原因不能进入</w:t>
            </w:r>
            <w:r>
              <w:rPr>
                <w:rFonts w:hint="eastAsia" w:ascii="楷体" w:hAnsi="楷体" w:eastAsia="楷体" w:cs="楷体"/>
                <w:sz w:val="24"/>
                <w:highlight w:val="none"/>
                <w:u w:val="none"/>
              </w:rPr>
              <w:t>建安集团官网（http://www.jahg.com.cn/）</w:t>
            </w:r>
            <w:r>
              <w:rPr>
                <w:rFonts w:hint="eastAsia" w:ascii="楷体" w:hAnsi="楷体" w:eastAsia="楷体" w:cs="楷体"/>
                <w:sz w:val="24"/>
                <w:szCs w:val="24"/>
                <w:u w:val="none"/>
                <w:vertAlign w:val="baseline"/>
                <w:lang w:val="en-US" w:eastAsia="zh-CN"/>
              </w:rPr>
              <w:t>、</w:t>
            </w:r>
            <w:r>
              <w:rPr>
                <w:rFonts w:hint="eastAsia" w:ascii="楷体" w:hAnsi="楷体" w:eastAsia="楷体" w:cs="楷体"/>
                <w:sz w:val="24"/>
                <w:szCs w:val="24"/>
                <w:lang w:val="en-US" w:eastAsia="zh-CN"/>
              </w:rPr>
              <w:t>安诚金融官网</w:t>
            </w:r>
            <w:r>
              <w:rPr>
                <w:rFonts w:hint="eastAsia" w:ascii="楷体" w:hAnsi="楷体" w:eastAsia="楷体" w:cs="楷体"/>
                <w:sz w:val="24"/>
                <w:szCs w:val="24"/>
                <w:highlight w:val="none"/>
                <w:lang w:val="en-US" w:eastAsia="zh-CN"/>
              </w:rPr>
              <w:t>（http://www.ahacf.com.cn/）</w:t>
            </w:r>
            <w:r>
              <w:rPr>
                <w:rFonts w:hint="eastAsia" w:ascii="楷体" w:hAnsi="楷体" w:eastAsia="楷体" w:cs="楷体"/>
                <w:sz w:val="24"/>
                <w:szCs w:val="24"/>
                <w:u w:val="none"/>
                <w:vertAlign w:val="baseline"/>
                <w:lang w:val="en-US" w:eastAsia="zh-CN"/>
              </w:rPr>
              <w:t>，请及时与招标人联系。否则，造成的一切后果由投标人自行承担。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19</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构成投标文件的其他材料</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20</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增值税税金的计算方法</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投标报价应包括国家规定的增值税税金，增值税税金按一般计税方法计算。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21</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报价方式</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本项目以发行金额为基数，承销费率按照</w:t>
            </w:r>
            <w:r>
              <w:rPr>
                <w:rFonts w:hint="eastAsia" w:ascii="楷体" w:hAnsi="楷体" w:eastAsia="楷体" w:cs="楷体"/>
                <w:b/>
                <w:bCs/>
                <w:sz w:val="24"/>
                <w:szCs w:val="24"/>
                <w:u w:val="none"/>
                <w:vertAlign w:val="baseline"/>
                <w:lang w:val="en-US" w:eastAsia="zh-CN"/>
              </w:rPr>
              <w:t>年化</w:t>
            </w:r>
            <w:r>
              <w:rPr>
                <w:rFonts w:hint="eastAsia" w:ascii="楷体" w:hAnsi="楷体" w:eastAsia="楷体" w:cs="楷体"/>
                <w:sz w:val="24"/>
                <w:szCs w:val="24"/>
                <w:u w:val="none"/>
                <w:vertAlign w:val="baseline"/>
                <w:lang w:val="en-US" w:eastAsia="zh-CN"/>
              </w:rPr>
              <w:t>标准进行投标报价。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22</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最高投标限价</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□无</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sym w:font="Wingdings 2" w:char="0052"/>
            </w:r>
            <w:r>
              <w:rPr>
                <w:rFonts w:hint="eastAsia" w:ascii="楷体" w:hAnsi="楷体" w:eastAsia="楷体" w:cs="楷体"/>
                <w:sz w:val="24"/>
                <w:szCs w:val="24"/>
                <w:u w:val="none"/>
                <w:vertAlign w:val="baseline"/>
                <w:lang w:val="en-US" w:eastAsia="zh-CN"/>
              </w:rPr>
              <w:t>有，最高投标限价：承销费率最高不得超</w:t>
            </w:r>
            <w:r>
              <w:rPr>
                <w:rFonts w:hint="eastAsia" w:ascii="楷体" w:hAnsi="楷体" w:eastAsia="楷体" w:cs="楷体"/>
                <w:sz w:val="24"/>
                <w:szCs w:val="24"/>
                <w:u w:val="none"/>
                <w:shd w:val="clear" w:color="auto" w:fill="auto"/>
                <w:vertAlign w:val="baseline"/>
                <w:lang w:val="en-US" w:eastAsia="zh-CN"/>
              </w:rPr>
              <w:t>过</w:t>
            </w:r>
            <w:r>
              <w:rPr>
                <w:rFonts w:hint="eastAsia" w:ascii="楷体" w:hAnsi="楷体" w:eastAsia="楷体" w:cs="楷体"/>
                <w:b/>
                <w:bCs/>
                <w:sz w:val="24"/>
                <w:szCs w:val="24"/>
                <w:u w:val="none"/>
                <w:shd w:val="clear" w:color="auto" w:fill="auto"/>
                <w:vertAlign w:val="baseline"/>
                <w:lang w:val="en-US" w:eastAsia="zh-CN"/>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23</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中标通知时间</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评标结束后30日以内。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24</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是否允许递交备选投标方案</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sym w:font="Wingdings 2" w:char="0052"/>
            </w:r>
            <w:r>
              <w:rPr>
                <w:rFonts w:hint="eastAsia" w:ascii="楷体" w:hAnsi="楷体" w:eastAsia="楷体" w:cs="楷体"/>
                <w:sz w:val="24"/>
                <w:szCs w:val="24"/>
                <w:u w:val="none"/>
                <w:vertAlign w:val="baseline"/>
                <w:lang w:val="en-US" w:eastAsia="zh-CN"/>
              </w:rPr>
              <w:t>不允许</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sym w:font="Wingdings 2" w:char="00A3"/>
            </w:r>
            <w:r>
              <w:rPr>
                <w:rFonts w:hint="eastAsia" w:ascii="楷体" w:hAnsi="楷体" w:eastAsia="楷体" w:cs="楷体"/>
                <w:sz w:val="24"/>
                <w:szCs w:val="24"/>
                <w:u w:val="none"/>
                <w:vertAlign w:val="baseline"/>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25</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投标文件份数</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left="3120" w:hanging="3120" w:hangingChars="1300"/>
              <w:jc w:val="left"/>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每标包投标文件份数：正本</w:t>
            </w:r>
            <w:r>
              <w:rPr>
                <w:rFonts w:hint="eastAsia" w:ascii="楷体" w:hAnsi="楷体" w:eastAsia="楷体" w:cs="楷体"/>
                <w:b/>
                <w:bCs/>
                <w:sz w:val="24"/>
                <w:szCs w:val="24"/>
                <w:u w:val="single"/>
                <w:vertAlign w:val="baseline"/>
                <w:lang w:val="en-US" w:eastAsia="zh-CN"/>
              </w:rPr>
              <w:t>1</w:t>
            </w:r>
            <w:r>
              <w:rPr>
                <w:rFonts w:hint="eastAsia" w:ascii="楷体" w:hAnsi="楷体" w:eastAsia="楷体" w:cs="楷体"/>
                <w:sz w:val="24"/>
                <w:szCs w:val="24"/>
                <w:u w:val="none"/>
                <w:vertAlign w:val="baseline"/>
                <w:lang w:val="en-US" w:eastAsia="zh-CN"/>
              </w:rPr>
              <w:t>份、副本</w:t>
            </w:r>
            <w:r>
              <w:rPr>
                <w:rFonts w:hint="eastAsia" w:ascii="楷体" w:hAnsi="楷体" w:eastAsia="楷体" w:cs="楷体"/>
                <w:b/>
                <w:bCs/>
                <w:sz w:val="24"/>
                <w:szCs w:val="24"/>
                <w:u w:val="single"/>
                <w:vertAlign w:val="baseline"/>
                <w:lang w:val="en-US" w:eastAsia="zh-CN"/>
              </w:rPr>
              <w:t>7</w:t>
            </w:r>
            <w:r>
              <w:rPr>
                <w:rFonts w:hint="eastAsia" w:ascii="楷体" w:hAnsi="楷体" w:eastAsia="楷体" w:cs="楷体"/>
                <w:sz w:val="24"/>
                <w:szCs w:val="24"/>
                <w:u w:val="none"/>
                <w:vertAlign w:val="baseline"/>
                <w:lang w:val="en-US" w:eastAsia="zh-CN"/>
              </w:rPr>
              <w:t>份、电子版</w:t>
            </w:r>
          </w:p>
          <w:p>
            <w:pPr>
              <w:keepNext w:val="0"/>
              <w:keepLines w:val="0"/>
              <w:pageBreakBefore w:val="0"/>
              <w:widowControl w:val="0"/>
              <w:kinsoku/>
              <w:wordWrap w:val="0"/>
              <w:overflowPunct/>
              <w:topLinePunct w:val="0"/>
              <w:autoSpaceDE/>
              <w:autoSpaceDN/>
              <w:bidi w:val="0"/>
              <w:adjustRightInd/>
              <w:snapToGrid/>
              <w:spacing w:line="440" w:lineRule="exact"/>
              <w:ind w:left="3127" w:leftChars="1145" w:hanging="723" w:hangingChars="300"/>
              <w:jc w:val="left"/>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b/>
                <w:bCs/>
                <w:sz w:val="24"/>
                <w:szCs w:val="24"/>
                <w:u w:val="single"/>
                <w:vertAlign w:val="baseline"/>
                <w:lang w:val="en-US" w:eastAsia="zh-CN"/>
              </w:rPr>
              <w:t>1</w:t>
            </w:r>
            <w:r>
              <w:rPr>
                <w:rFonts w:hint="eastAsia" w:ascii="楷体" w:hAnsi="楷体" w:eastAsia="楷体" w:cs="楷体"/>
                <w:sz w:val="24"/>
                <w:szCs w:val="24"/>
                <w:u w:val="none"/>
                <w:vertAlign w:val="baseline"/>
                <w:lang w:val="en-US" w:eastAsia="zh-CN"/>
              </w:rPr>
              <w:t>份</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（1）正本所有材料必须为原件，非原件可直接废标；副本可以彩印装订，电子版本必须为盖章后原件高清扫描版本，格式为PDF，密封保存在全新U盘中；</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（2）投标文件应按要求密封，密封袋封口加盖投标单位印章；</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（3）投标文件须采用胶粘方式装订，装订应牢固、不易拆散和换页，不得采用活页装订。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26</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highlight w:val="none"/>
                <w:u w:val="none"/>
                <w:vertAlign w:val="baseline"/>
                <w:lang w:val="en-US" w:eastAsia="zh-CN"/>
              </w:rPr>
            </w:pPr>
            <w:r>
              <w:rPr>
                <w:rFonts w:hint="eastAsia" w:ascii="楷体" w:hAnsi="楷体" w:eastAsia="楷体" w:cs="楷体"/>
                <w:sz w:val="24"/>
                <w:szCs w:val="24"/>
                <w:highlight w:val="none"/>
                <w:u w:val="none"/>
                <w:vertAlign w:val="baseline"/>
                <w:lang w:val="en-US" w:eastAsia="zh-CN"/>
              </w:rPr>
              <w:t>投标文件是否需分册装订</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b w:val="0"/>
                <w:bCs w:val="0"/>
                <w:sz w:val="24"/>
                <w:szCs w:val="24"/>
                <w:highlight w:val="none"/>
                <w:u w:val="none"/>
                <w:vertAlign w:val="baseline"/>
                <w:lang w:val="en-US" w:eastAsia="zh-CN"/>
              </w:rPr>
            </w:pPr>
            <w:r>
              <w:rPr>
                <w:rFonts w:hint="eastAsia" w:ascii="楷体" w:hAnsi="楷体" w:eastAsia="楷体" w:cs="楷体"/>
                <w:b w:val="0"/>
                <w:bCs w:val="0"/>
                <w:sz w:val="24"/>
                <w:szCs w:val="24"/>
                <w:highlight w:val="none"/>
                <w:u w:val="none"/>
                <w:vertAlign w:val="baseline"/>
                <w:lang w:val="en-US" w:eastAsia="zh-CN"/>
              </w:rPr>
              <w:sym w:font="Wingdings 2" w:char="00A3"/>
            </w:r>
            <w:r>
              <w:rPr>
                <w:rFonts w:hint="eastAsia" w:ascii="楷体" w:hAnsi="楷体" w:eastAsia="楷体" w:cs="楷体"/>
                <w:b w:val="0"/>
                <w:bCs w:val="0"/>
                <w:sz w:val="24"/>
                <w:szCs w:val="24"/>
                <w:highlight w:val="none"/>
                <w:u w:val="none"/>
                <w:vertAlign w:val="baseline"/>
                <w:lang w:val="en-US" w:eastAsia="zh-CN"/>
              </w:rPr>
              <w:t>不需要</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b/>
                <w:bCs/>
                <w:sz w:val="24"/>
                <w:szCs w:val="24"/>
                <w:highlight w:val="none"/>
                <w:u w:val="none"/>
                <w:vertAlign w:val="baseline"/>
                <w:lang w:val="en-US" w:eastAsia="zh-CN"/>
              </w:rPr>
            </w:pPr>
            <w:r>
              <w:rPr>
                <w:rFonts w:hint="eastAsia" w:ascii="楷体" w:hAnsi="楷体" w:eastAsia="楷体" w:cs="楷体"/>
                <w:b w:val="0"/>
                <w:bCs w:val="0"/>
                <w:sz w:val="24"/>
                <w:szCs w:val="24"/>
                <w:highlight w:val="none"/>
                <w:u w:val="none"/>
                <w:vertAlign w:val="baseline"/>
                <w:lang w:val="en-US" w:eastAsia="zh-CN"/>
              </w:rPr>
              <w:sym w:font="Wingdings 2" w:char="0052"/>
            </w:r>
            <w:r>
              <w:rPr>
                <w:rFonts w:hint="eastAsia" w:ascii="楷体" w:hAnsi="楷体" w:eastAsia="楷体" w:cs="楷体"/>
                <w:b w:val="0"/>
                <w:bCs w:val="0"/>
                <w:sz w:val="24"/>
                <w:szCs w:val="24"/>
                <w:highlight w:val="none"/>
                <w:u w:val="none"/>
                <w:vertAlign w:val="baseline"/>
                <w:lang w:val="en-US" w:eastAsia="zh-CN"/>
              </w:rPr>
              <w:t>需要，分册装订要求：按标包划分分册编制和装订。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27</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封套上应载明的信息</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招标人：安徽安诚金融控股集团有限公司</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default"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地  址：</w:t>
            </w:r>
            <w:r>
              <w:rPr>
                <w:rFonts w:hint="eastAsia" w:ascii="楷体" w:hAnsi="楷体" w:eastAsia="楷体" w:cs="楷体"/>
                <w:sz w:val="24"/>
                <w:szCs w:val="24"/>
                <w:lang w:val="en-US" w:eastAsia="zh-CN"/>
              </w:rPr>
              <w:t>合肥市滨湖新区徽州大道6699号</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u w:val="none"/>
              </w:rPr>
              <w:t>安徽安诚金融控股集团有限公司2020年非公开发行公司债券主承销商</w:t>
            </w:r>
            <w:r>
              <w:rPr>
                <w:rFonts w:hint="eastAsia" w:ascii="楷体" w:hAnsi="楷体" w:eastAsia="楷体" w:cs="楷体"/>
                <w:sz w:val="24"/>
                <w:szCs w:val="24"/>
                <w:u w:val="none"/>
                <w:shd w:val="clear" w:color="auto" w:fill="auto"/>
                <w:vertAlign w:val="baseline"/>
                <w:lang w:val="en-US" w:eastAsia="zh-CN"/>
              </w:rPr>
              <w:t>招标项目投标文件及投标品种，在</w:t>
            </w:r>
            <w:r>
              <w:rPr>
                <w:rFonts w:hint="eastAsia" w:ascii="楷体" w:hAnsi="楷体" w:eastAsia="楷体" w:cs="楷体"/>
                <w:sz w:val="24"/>
                <w:szCs w:val="24"/>
                <w:u w:val="single"/>
                <w:shd w:val="clear" w:color="auto" w:fill="auto"/>
                <w:vertAlign w:val="baseline"/>
                <w:lang w:val="en-US" w:eastAsia="zh-CN"/>
              </w:rPr>
              <w:t>2020年9月1日8时30分</w:t>
            </w:r>
            <w:r>
              <w:rPr>
                <w:rFonts w:hint="eastAsia" w:ascii="楷体" w:hAnsi="楷体" w:eastAsia="楷体" w:cs="楷体"/>
                <w:sz w:val="24"/>
                <w:szCs w:val="24"/>
                <w:u w:val="none"/>
                <w:shd w:val="clear" w:color="auto" w:fill="auto"/>
                <w:vertAlign w:val="baseline"/>
                <w:lang w:val="en-US" w:eastAsia="zh-CN"/>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28</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开标时间和地点</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开标时间：</w:t>
            </w:r>
            <w:r>
              <w:rPr>
                <w:rFonts w:hint="eastAsia" w:ascii="楷体" w:hAnsi="楷体" w:eastAsia="楷体" w:cs="楷体"/>
                <w:sz w:val="24"/>
                <w:szCs w:val="24"/>
                <w:u w:val="single"/>
                <w:shd w:val="clear" w:color="auto" w:fill="auto"/>
                <w:vertAlign w:val="baseline"/>
                <w:lang w:val="en-US" w:eastAsia="zh-CN"/>
              </w:rPr>
              <w:t>2020年9月1日8时30分</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shd w:val="clear" w:color="auto" w:fill="auto"/>
                <w:vertAlign w:val="baseline"/>
                <w:lang w:val="en-US" w:eastAsia="zh-CN"/>
              </w:rPr>
            </w:pPr>
            <w:r>
              <w:rPr>
                <w:rFonts w:hint="eastAsia" w:ascii="楷体" w:hAnsi="楷体" w:eastAsia="楷体" w:cs="楷体"/>
                <w:sz w:val="24"/>
                <w:szCs w:val="24"/>
                <w:u w:val="none"/>
                <w:shd w:val="clear" w:color="auto" w:fill="auto"/>
                <w:vertAlign w:val="baseline"/>
                <w:lang w:val="en-US" w:eastAsia="zh-CN"/>
              </w:rPr>
              <w:t>开标地点：安诚金融三楼会议室（徽州大道6699号）</w:t>
            </w:r>
            <w:r>
              <w:rPr>
                <w:rFonts w:hint="eastAsia" w:ascii="楷体" w:hAnsi="楷体" w:eastAsia="楷体" w:cs="楷体"/>
                <w:b/>
                <w:bCs/>
                <w:sz w:val="24"/>
                <w:szCs w:val="24"/>
                <w:u w:val="none"/>
                <w:shd w:val="clear" w:color="auto" w:fill="auto"/>
                <w:vertAlign w:val="baseline"/>
                <w:lang w:val="en-US" w:eastAsia="zh-CN"/>
              </w:rPr>
              <w:t>注：投标人代表应持有效身份证件参加开标会，有效身份证件是指中华人民共和国第二代居民身份证，其他证明无效。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29</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投标文件是否退还</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sym w:font="Wingdings 2" w:char="0052"/>
            </w:r>
            <w:r>
              <w:rPr>
                <w:rFonts w:hint="eastAsia" w:ascii="楷体" w:hAnsi="楷体" w:eastAsia="楷体" w:cs="楷体"/>
                <w:sz w:val="24"/>
                <w:szCs w:val="24"/>
                <w:u w:val="none"/>
                <w:vertAlign w:val="baseline"/>
                <w:lang w:val="en-US" w:eastAsia="zh-CN"/>
              </w:rPr>
              <w:t>否</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30</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关于签字相关事项</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投标文件及现场文件签字必须为经授权的投标人代表签字，其余任何签字无效。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31</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开标程序</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按招标文件规定的开标程序进行开标，述标前由投标人代表和监标人对投标文件密封情况进行检查。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32</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highlight w:val="none"/>
                <w:u w:val="none"/>
                <w:vertAlign w:val="baseline"/>
                <w:lang w:val="en-US" w:eastAsia="zh-CN"/>
              </w:rPr>
              <w:t>评标委员会的组建</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评标委员会构成：按有关规定选择成员；</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评标专家确定方式：按有关规定组建。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33</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中标通知书送达</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投标述标结束后，待安诚金融完成内部审批流程后向中标主体发送中标通知书。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34</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shd w:val="clear" w:color="auto" w:fill="auto"/>
                <w:vertAlign w:val="baseline"/>
                <w:lang w:val="en-US" w:eastAsia="zh-CN"/>
              </w:rPr>
              <w:t>是否授权评标委员会确定中标人</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sym w:font="Wingdings 2" w:char="0052"/>
            </w:r>
            <w:r>
              <w:rPr>
                <w:rFonts w:hint="eastAsia" w:ascii="楷体" w:hAnsi="楷体" w:eastAsia="楷体" w:cs="楷体"/>
                <w:sz w:val="24"/>
                <w:szCs w:val="24"/>
                <w:u w:val="none"/>
                <w:vertAlign w:val="baseline"/>
                <w:lang w:val="en-US" w:eastAsia="zh-CN"/>
              </w:rPr>
              <w:t>是</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964"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35</w:t>
            </w:r>
          </w:p>
        </w:tc>
        <w:tc>
          <w:tcPr>
            <w:tcW w:w="1876"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需要补充的其他内容</w:t>
            </w:r>
          </w:p>
        </w:tc>
        <w:tc>
          <w:tcPr>
            <w:tcW w:w="5682" w:type="dxa"/>
            <w:noWrap w:val="0"/>
            <w:vAlign w:val="center"/>
          </w:tcPr>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（1）投标人准备和参加投标活动发生的费用自理；</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（2）所有计量均采用中华人民共和国法定计量单位；</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highlight w:val="none"/>
                <w:u w:val="none"/>
                <w:vertAlign w:val="baseline"/>
                <w:lang w:val="en-US" w:eastAsia="zh-CN"/>
              </w:rPr>
            </w:pPr>
            <w:r>
              <w:rPr>
                <w:rFonts w:hint="eastAsia" w:ascii="楷体" w:hAnsi="楷体" w:eastAsia="楷体" w:cs="楷体"/>
                <w:sz w:val="24"/>
                <w:szCs w:val="24"/>
                <w:highlight w:val="none"/>
                <w:u w:val="none"/>
                <w:vertAlign w:val="baseline"/>
                <w:lang w:val="en-US" w:eastAsia="zh-CN"/>
              </w:rPr>
              <w:t>（3）</w:t>
            </w:r>
            <w:r>
              <w:rPr>
                <w:rFonts w:hint="eastAsia" w:ascii="楷体" w:hAnsi="楷体" w:eastAsia="楷体" w:cs="楷体"/>
                <w:sz w:val="24"/>
                <w:szCs w:val="24"/>
                <w:highlight w:val="none"/>
                <w:u w:val="none"/>
                <w:shd w:val="clear" w:color="auto" w:fill="auto"/>
                <w:vertAlign w:val="baseline"/>
                <w:lang w:val="en-US" w:eastAsia="zh-CN"/>
              </w:rPr>
              <w:t>招标人具有不接受任何券商投标人投标而无需做出解释的权力；</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（4）构成本招标文件的各个组成文件应互为解释，互为说明。如有不明确或不一致的，由招标人负责解释；</w:t>
            </w:r>
          </w:p>
          <w:p>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楷体" w:hAnsi="楷体" w:eastAsia="楷体" w:cs="楷体"/>
                <w:sz w:val="24"/>
                <w:szCs w:val="24"/>
                <w:u w:val="none"/>
                <w:vertAlign w:val="baseline"/>
                <w:lang w:val="en-US" w:eastAsia="zh-CN"/>
              </w:rPr>
            </w:pPr>
            <w:r>
              <w:rPr>
                <w:rFonts w:hint="eastAsia" w:ascii="楷体" w:hAnsi="楷体" w:eastAsia="楷体" w:cs="楷体"/>
                <w:sz w:val="24"/>
                <w:szCs w:val="24"/>
                <w:u w:val="none"/>
                <w:vertAlign w:val="baseline"/>
                <w:lang w:val="en-US" w:eastAsia="zh-CN"/>
              </w:rPr>
              <w:t>（5）投标述标结束后，待安诚金融完成内部审批流程后向中标主体发送中标通知书。</w:t>
            </w:r>
          </w:p>
        </w:tc>
      </w:tr>
    </w:tbl>
    <w:p>
      <w:pPr>
        <w:rPr>
          <w:rFonts w:hint="eastAsia" w:ascii="楷体" w:hAnsi="楷体" w:eastAsia="楷体"/>
          <w:spacing w:val="20"/>
          <w:kern w:val="2"/>
          <w:sz w:val="24"/>
          <w:szCs w:val="24"/>
          <w:lang w:val="en-US" w:eastAsia="zh-CN" w:bidi="ar-SA"/>
        </w:rPr>
        <w:sectPr>
          <w:footerReference r:id="rId5" w:type="firs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rPr>
          <w:rFonts w:hint="eastAsia"/>
        </w:rPr>
      </w:pPr>
      <w:bookmarkStart w:id="2" w:name="_Toc1790"/>
    </w:p>
    <w:p>
      <w:pPr>
        <w:pStyle w:val="2"/>
        <w:bidi w:val="0"/>
        <w:jc w:val="center"/>
        <w:rPr>
          <w:rFonts w:hint="eastAsia"/>
        </w:rPr>
      </w:pPr>
      <w:r>
        <w:rPr>
          <w:rFonts w:hint="eastAsia"/>
        </w:rPr>
        <w:t>第三章 评审委员会与评选规则</w:t>
      </w:r>
      <w:bookmarkEnd w:id="2"/>
    </w:p>
    <w:p>
      <w:pPr>
        <w:spacing w:line="360" w:lineRule="auto"/>
        <w:ind w:firstLine="562" w:firstLineChars="200"/>
        <w:rPr>
          <w:rFonts w:hint="eastAsia" w:ascii="楷体" w:hAnsi="楷体" w:eastAsia="楷体"/>
          <w:b/>
          <w:spacing w:val="20"/>
          <w:sz w:val="24"/>
        </w:rPr>
      </w:pPr>
      <w:r>
        <w:rPr>
          <w:rFonts w:hint="eastAsia" w:ascii="楷体" w:hAnsi="楷体" w:eastAsia="楷体"/>
          <w:b/>
          <w:spacing w:val="20"/>
          <w:sz w:val="24"/>
        </w:rPr>
        <w:t>一、 组成人员</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评审委员会由经济、管理、财务、法律、审计纪检等方面的专家组成，具体人选由</w:t>
      </w:r>
      <w:r>
        <w:rPr>
          <w:rFonts w:hint="eastAsia" w:ascii="楷体" w:hAnsi="楷体" w:eastAsia="楷体"/>
          <w:spacing w:val="20"/>
          <w:sz w:val="24"/>
          <w:lang w:val="en-US" w:eastAsia="zh-CN"/>
        </w:rPr>
        <w:t>安诚金融</w:t>
      </w:r>
      <w:r>
        <w:rPr>
          <w:rFonts w:hint="eastAsia" w:ascii="楷体" w:hAnsi="楷体" w:eastAsia="楷体"/>
          <w:spacing w:val="20"/>
          <w:sz w:val="24"/>
        </w:rPr>
        <w:t>确定。</w:t>
      </w:r>
    </w:p>
    <w:p>
      <w:pPr>
        <w:spacing w:line="360" w:lineRule="auto"/>
        <w:ind w:firstLine="562" w:firstLineChars="200"/>
        <w:rPr>
          <w:rFonts w:hint="eastAsia" w:ascii="楷体" w:hAnsi="楷体" w:eastAsia="楷体"/>
          <w:b/>
          <w:spacing w:val="20"/>
          <w:sz w:val="24"/>
        </w:rPr>
      </w:pPr>
      <w:r>
        <w:rPr>
          <w:rFonts w:hint="eastAsia" w:ascii="楷体" w:hAnsi="楷体" w:eastAsia="楷体"/>
          <w:b/>
          <w:spacing w:val="20"/>
          <w:sz w:val="24"/>
        </w:rPr>
        <w:t>二、 评审过程注意事项</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评审委员会对进入参选</w:t>
      </w:r>
      <w:r>
        <w:rPr>
          <w:rFonts w:hint="eastAsia" w:ascii="楷体" w:hAnsi="楷体" w:eastAsia="楷体"/>
          <w:spacing w:val="20"/>
          <w:sz w:val="24"/>
          <w:lang w:val="en-US" w:eastAsia="zh-CN"/>
        </w:rPr>
        <w:t>券商</w:t>
      </w:r>
      <w:r>
        <w:rPr>
          <w:rFonts w:hint="eastAsia" w:ascii="楷体" w:hAnsi="楷体" w:eastAsia="楷体"/>
          <w:spacing w:val="20"/>
          <w:sz w:val="24"/>
        </w:rPr>
        <w:t>提供的资料进行审核及内部评议，审核合格后，每个参选</w:t>
      </w:r>
      <w:r>
        <w:rPr>
          <w:rFonts w:hint="eastAsia" w:ascii="楷体" w:hAnsi="楷体" w:eastAsia="楷体"/>
          <w:spacing w:val="20"/>
          <w:sz w:val="24"/>
          <w:lang w:val="en-US" w:eastAsia="zh-CN"/>
        </w:rPr>
        <w:t>券商</w:t>
      </w:r>
      <w:r>
        <w:rPr>
          <w:rFonts w:hint="eastAsia" w:ascii="楷体" w:hAnsi="楷体" w:eastAsia="楷体"/>
          <w:spacing w:val="20"/>
          <w:sz w:val="24"/>
        </w:rPr>
        <w:t>须派2名左右（</w:t>
      </w:r>
      <w:r>
        <w:rPr>
          <w:rFonts w:hint="eastAsia" w:ascii="楷体" w:hAnsi="楷体" w:eastAsia="楷体"/>
          <w:b/>
          <w:bCs/>
          <w:spacing w:val="20"/>
          <w:sz w:val="24"/>
        </w:rPr>
        <w:t>必须包含授权代表</w:t>
      </w:r>
      <w:r>
        <w:rPr>
          <w:rFonts w:hint="eastAsia" w:ascii="楷体" w:hAnsi="楷体" w:eastAsia="楷体"/>
          <w:spacing w:val="20"/>
          <w:sz w:val="24"/>
        </w:rPr>
        <w:t>）工作人员现场回答评审委员会的提问(主要内容为机构综合实力、</w:t>
      </w:r>
      <w:r>
        <w:rPr>
          <w:rFonts w:hint="eastAsia" w:ascii="楷体" w:hAnsi="楷体" w:eastAsia="楷体"/>
          <w:spacing w:val="20"/>
          <w:sz w:val="24"/>
          <w:lang w:val="en-US" w:eastAsia="zh-CN"/>
        </w:rPr>
        <w:t>公司债</w:t>
      </w:r>
      <w:r>
        <w:rPr>
          <w:rFonts w:hint="eastAsia" w:ascii="楷体" w:hAnsi="楷体" w:eastAsia="楷体"/>
          <w:spacing w:val="20"/>
          <w:sz w:val="24"/>
        </w:rPr>
        <w:t>承销发行经验、方案设计、服务承诺等)，参选代表根据提问问题给出合理解决方案。</w:t>
      </w:r>
    </w:p>
    <w:p>
      <w:pPr>
        <w:spacing w:line="360" w:lineRule="auto"/>
        <w:ind w:firstLine="562" w:firstLineChars="200"/>
        <w:rPr>
          <w:rFonts w:hint="eastAsia" w:ascii="楷体" w:hAnsi="楷体" w:eastAsia="楷体"/>
          <w:b/>
          <w:spacing w:val="20"/>
          <w:sz w:val="24"/>
        </w:rPr>
      </w:pPr>
      <w:r>
        <w:rPr>
          <w:rFonts w:hint="eastAsia" w:ascii="楷体" w:hAnsi="楷体" w:eastAsia="楷体"/>
          <w:b/>
          <w:spacing w:val="20"/>
          <w:sz w:val="24"/>
        </w:rPr>
        <w:t>三、 评审规则</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1、评审委员会成员按照评审标准分别对参选</w:t>
      </w:r>
      <w:r>
        <w:rPr>
          <w:rFonts w:hint="eastAsia" w:ascii="楷体" w:hAnsi="楷体" w:eastAsia="楷体"/>
          <w:spacing w:val="20"/>
          <w:sz w:val="24"/>
          <w:lang w:val="en-US" w:eastAsia="zh-CN"/>
        </w:rPr>
        <w:t>券商</w:t>
      </w:r>
      <w:r>
        <w:rPr>
          <w:rFonts w:hint="eastAsia" w:ascii="楷体" w:hAnsi="楷体" w:eastAsia="楷体"/>
          <w:spacing w:val="20"/>
          <w:sz w:val="24"/>
        </w:rPr>
        <w:t>进行评估，并打分。</w:t>
      </w:r>
    </w:p>
    <w:p>
      <w:pPr>
        <w:spacing w:line="360" w:lineRule="auto"/>
        <w:ind w:firstLine="560" w:firstLineChars="200"/>
        <w:rPr>
          <w:rFonts w:hint="eastAsia" w:ascii="楷体" w:hAnsi="楷体" w:eastAsia="楷体"/>
          <w:spacing w:val="20"/>
          <w:sz w:val="24"/>
          <w:highlight w:val="none"/>
        </w:rPr>
      </w:pPr>
      <w:r>
        <w:rPr>
          <w:rFonts w:hint="eastAsia" w:ascii="楷体" w:hAnsi="楷体" w:eastAsia="楷体"/>
          <w:spacing w:val="20"/>
          <w:sz w:val="24"/>
          <w:highlight w:val="none"/>
        </w:rPr>
        <w:t>2、重点考察参选</w:t>
      </w:r>
      <w:r>
        <w:rPr>
          <w:rFonts w:hint="eastAsia" w:ascii="楷体" w:hAnsi="楷体" w:eastAsia="楷体"/>
          <w:spacing w:val="20"/>
          <w:sz w:val="24"/>
          <w:highlight w:val="none"/>
          <w:lang w:eastAsia="zh-CN"/>
        </w:rPr>
        <w:t>券商</w:t>
      </w:r>
      <w:r>
        <w:rPr>
          <w:rFonts w:hint="eastAsia" w:ascii="楷体" w:hAnsi="楷体" w:eastAsia="楷体"/>
          <w:b w:val="0"/>
          <w:bCs w:val="0"/>
          <w:spacing w:val="20"/>
          <w:sz w:val="24"/>
          <w:highlight w:val="none"/>
        </w:rPr>
        <w:t>发行方案设计</w:t>
      </w:r>
      <w:r>
        <w:rPr>
          <w:rFonts w:hint="eastAsia" w:ascii="楷体" w:hAnsi="楷体" w:eastAsia="楷体"/>
          <w:b w:val="0"/>
          <w:bCs w:val="0"/>
          <w:spacing w:val="20"/>
          <w:sz w:val="24"/>
          <w:highlight w:val="none"/>
          <w:lang w:eastAsia="zh-CN"/>
        </w:rPr>
        <w:t>、</w:t>
      </w:r>
      <w:r>
        <w:rPr>
          <w:rFonts w:hint="eastAsia" w:ascii="楷体" w:hAnsi="楷体" w:eastAsia="楷体"/>
          <w:b w:val="0"/>
          <w:bCs w:val="0"/>
          <w:spacing w:val="20"/>
          <w:sz w:val="24"/>
          <w:highlight w:val="none"/>
        </w:rPr>
        <w:t>项目进度安排及掌控能力、项目重视程度、现场驻扎团队实力</w:t>
      </w:r>
      <w:r>
        <w:rPr>
          <w:rFonts w:hint="eastAsia" w:ascii="楷体" w:hAnsi="楷体" w:eastAsia="楷体"/>
          <w:b w:val="0"/>
          <w:bCs w:val="0"/>
          <w:spacing w:val="20"/>
          <w:sz w:val="24"/>
          <w:highlight w:val="none"/>
          <w:lang w:eastAsia="zh-CN"/>
        </w:rPr>
        <w:t>、</w:t>
      </w:r>
      <w:r>
        <w:rPr>
          <w:rFonts w:hint="eastAsia" w:ascii="楷体" w:hAnsi="楷体" w:eastAsia="楷体"/>
          <w:b w:val="0"/>
          <w:bCs w:val="0"/>
          <w:spacing w:val="20"/>
          <w:sz w:val="24"/>
          <w:highlight w:val="none"/>
        </w:rPr>
        <w:t>历史债券承销业绩、</w:t>
      </w:r>
      <w:r>
        <w:rPr>
          <w:rFonts w:hint="eastAsia" w:ascii="楷体" w:hAnsi="楷体" w:eastAsia="楷体"/>
          <w:b w:val="0"/>
          <w:bCs w:val="0"/>
          <w:spacing w:val="20"/>
          <w:sz w:val="24"/>
          <w:highlight w:val="none"/>
          <w:lang w:val="en-US" w:eastAsia="zh-CN"/>
        </w:rPr>
        <w:t>交易所</w:t>
      </w:r>
      <w:r>
        <w:rPr>
          <w:rFonts w:hint="eastAsia" w:ascii="楷体" w:hAnsi="楷体" w:eastAsia="楷体"/>
          <w:b w:val="0"/>
          <w:bCs w:val="0"/>
          <w:spacing w:val="20"/>
          <w:sz w:val="24"/>
          <w:highlight w:val="none"/>
        </w:rPr>
        <w:t>对</w:t>
      </w:r>
      <w:r>
        <w:rPr>
          <w:rFonts w:hint="eastAsia" w:ascii="楷体" w:hAnsi="楷体" w:eastAsia="楷体"/>
          <w:b w:val="0"/>
          <w:bCs w:val="0"/>
          <w:spacing w:val="20"/>
          <w:sz w:val="24"/>
          <w:highlight w:val="none"/>
          <w:lang w:val="en-US" w:eastAsia="zh-CN"/>
        </w:rPr>
        <w:t>类金融</w:t>
      </w:r>
      <w:r>
        <w:rPr>
          <w:rFonts w:hint="eastAsia" w:ascii="楷体" w:hAnsi="楷体" w:eastAsia="楷体"/>
          <w:b w:val="0"/>
          <w:bCs w:val="0"/>
          <w:spacing w:val="20"/>
          <w:sz w:val="24"/>
          <w:highlight w:val="none"/>
        </w:rPr>
        <w:t>公司最新政策以及</w:t>
      </w:r>
      <w:r>
        <w:rPr>
          <w:rFonts w:hint="eastAsia" w:ascii="楷体" w:hAnsi="楷体" w:eastAsia="楷体"/>
          <w:b w:val="0"/>
          <w:bCs w:val="0"/>
          <w:spacing w:val="20"/>
          <w:sz w:val="24"/>
          <w:highlight w:val="none"/>
          <w:lang w:val="en-US" w:eastAsia="zh-CN"/>
        </w:rPr>
        <w:t>安诚金融</w:t>
      </w:r>
      <w:r>
        <w:rPr>
          <w:rFonts w:hint="eastAsia" w:ascii="楷体" w:hAnsi="楷体" w:eastAsia="楷体"/>
          <w:b w:val="0"/>
          <w:bCs w:val="0"/>
          <w:spacing w:val="20"/>
          <w:sz w:val="24"/>
          <w:highlight w:val="none"/>
        </w:rPr>
        <w:t>融资面临的问题及对策，</w:t>
      </w:r>
      <w:r>
        <w:rPr>
          <w:rFonts w:hint="eastAsia" w:ascii="楷体" w:hAnsi="楷体" w:eastAsia="楷体"/>
          <w:b w:val="0"/>
          <w:bCs w:val="0"/>
          <w:spacing w:val="20"/>
          <w:sz w:val="24"/>
          <w:highlight w:val="none"/>
          <w:lang w:val="en-US" w:eastAsia="zh-CN"/>
        </w:rPr>
        <w:t>综合</w:t>
      </w:r>
      <w:r>
        <w:rPr>
          <w:rFonts w:hint="eastAsia" w:ascii="楷体" w:hAnsi="楷体" w:eastAsia="楷体"/>
          <w:spacing w:val="20"/>
          <w:sz w:val="24"/>
          <w:highlight w:val="none"/>
          <w:lang w:val="en-US" w:eastAsia="zh-CN"/>
        </w:rPr>
        <w:t>考虑</w:t>
      </w:r>
      <w:r>
        <w:rPr>
          <w:rFonts w:hint="eastAsia" w:ascii="楷体" w:hAnsi="楷体" w:eastAsia="楷体"/>
          <w:b w:val="0"/>
          <w:bCs w:val="0"/>
          <w:spacing w:val="20"/>
          <w:sz w:val="24"/>
          <w:highlight w:val="none"/>
        </w:rPr>
        <w:t>整体发行成本及效率等相关</w:t>
      </w:r>
      <w:r>
        <w:rPr>
          <w:rFonts w:hint="eastAsia" w:ascii="楷体" w:hAnsi="楷体" w:eastAsia="楷体"/>
          <w:spacing w:val="20"/>
          <w:sz w:val="24"/>
          <w:highlight w:val="none"/>
        </w:rPr>
        <w:t>方面。</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3、通过评审委员会科学、合理、规范、透明的综合评估和讨论商议后，确定主承销商候选人。</w:t>
      </w:r>
    </w:p>
    <w:p>
      <w:pPr>
        <w:pStyle w:val="2"/>
        <w:bidi w:val="0"/>
        <w:jc w:val="both"/>
        <w:rPr>
          <w:rFonts w:hint="eastAsia" w:ascii="楷体" w:hAnsi="楷体" w:eastAsia="楷体"/>
          <w:spacing w:val="20"/>
          <w:sz w:val="24"/>
        </w:rPr>
        <w:sectPr>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pStyle w:val="2"/>
        <w:bidi w:val="0"/>
        <w:jc w:val="center"/>
        <w:rPr>
          <w:rFonts w:hint="eastAsia" w:ascii="楷体" w:hAnsi="楷体" w:eastAsia="楷体"/>
          <w:spacing w:val="20"/>
          <w:sz w:val="24"/>
        </w:rPr>
        <w:sectPr>
          <w:type w:val="continuous"/>
          <w:pgSz w:w="11906" w:h="16838"/>
          <w:pgMar w:top="1440" w:right="1797" w:bottom="1440" w:left="1797"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p>
    <w:p>
      <w:pPr>
        <w:pStyle w:val="2"/>
        <w:bidi w:val="0"/>
        <w:jc w:val="center"/>
        <w:rPr>
          <w:rFonts w:hint="eastAsia"/>
          <w:b/>
          <w:bCs/>
        </w:rPr>
      </w:pPr>
      <w:bookmarkStart w:id="3" w:name="_Toc3233"/>
    </w:p>
    <w:p>
      <w:pPr>
        <w:pStyle w:val="2"/>
        <w:bidi w:val="0"/>
        <w:jc w:val="center"/>
        <w:rPr>
          <w:rFonts w:hint="eastAsia"/>
          <w:b/>
          <w:bCs/>
        </w:rPr>
      </w:pPr>
    </w:p>
    <w:p>
      <w:pPr>
        <w:pStyle w:val="2"/>
        <w:bidi w:val="0"/>
        <w:jc w:val="center"/>
        <w:rPr>
          <w:rFonts w:hint="eastAsia" w:ascii="楷体" w:hAnsi="楷体" w:eastAsia="楷体"/>
          <w:spacing w:val="20"/>
        </w:rPr>
      </w:pPr>
      <w:r>
        <w:rPr>
          <w:rFonts w:hint="eastAsia"/>
          <w:b/>
          <w:bCs/>
        </w:rPr>
        <w:t>第四章 评审标准</w:t>
      </w:r>
      <w:bookmarkEnd w:id="3"/>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评审委员会成员从以下六个方面对参选</w:t>
      </w:r>
      <w:r>
        <w:rPr>
          <w:rFonts w:hint="eastAsia" w:ascii="楷体" w:hAnsi="楷体" w:eastAsia="楷体"/>
          <w:spacing w:val="20"/>
          <w:sz w:val="24"/>
          <w:lang w:eastAsia="zh-CN"/>
        </w:rPr>
        <w:t>券商</w:t>
      </w:r>
      <w:r>
        <w:rPr>
          <w:rFonts w:hint="eastAsia" w:ascii="楷体" w:hAnsi="楷体" w:eastAsia="楷体"/>
          <w:spacing w:val="20"/>
          <w:sz w:val="24"/>
        </w:rPr>
        <w:t>进行综合评估:</w:t>
      </w:r>
    </w:p>
    <w:p>
      <w:pPr>
        <w:spacing w:line="360" w:lineRule="auto"/>
        <w:ind w:firstLine="562" w:firstLineChars="200"/>
        <w:rPr>
          <w:rFonts w:hint="eastAsia" w:ascii="楷体" w:hAnsi="楷体" w:eastAsia="楷体"/>
          <w:b/>
          <w:bCs/>
          <w:spacing w:val="20"/>
          <w:sz w:val="24"/>
        </w:rPr>
      </w:pPr>
      <w:r>
        <w:rPr>
          <w:rFonts w:hint="eastAsia" w:ascii="楷体" w:hAnsi="楷体" w:eastAsia="楷体"/>
          <w:b/>
          <w:bCs/>
          <w:spacing w:val="20"/>
          <w:sz w:val="24"/>
          <w:lang w:val="en-US" w:eastAsia="zh-CN"/>
        </w:rPr>
        <w:t>一</w:t>
      </w:r>
      <w:r>
        <w:rPr>
          <w:rFonts w:hint="eastAsia" w:ascii="楷体" w:hAnsi="楷体" w:eastAsia="楷体"/>
          <w:b/>
          <w:bCs/>
          <w:spacing w:val="20"/>
          <w:sz w:val="24"/>
        </w:rPr>
        <w:t>、发行方案设计（</w:t>
      </w:r>
      <w:r>
        <w:rPr>
          <w:rFonts w:hint="eastAsia" w:ascii="楷体" w:hAnsi="楷体" w:eastAsia="楷体"/>
          <w:b/>
          <w:bCs/>
          <w:spacing w:val="20"/>
          <w:sz w:val="24"/>
          <w:lang w:val="en-US" w:eastAsia="zh-CN"/>
        </w:rPr>
        <w:t>30</w:t>
      </w:r>
      <w:r>
        <w:rPr>
          <w:rFonts w:hint="eastAsia" w:ascii="楷体" w:hAnsi="楷体" w:eastAsia="楷体"/>
          <w:b/>
          <w:bCs/>
          <w:spacing w:val="20"/>
          <w:sz w:val="24"/>
        </w:rPr>
        <w:t>分）。</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重点考察发行方案设计，包括</w:t>
      </w:r>
      <w:r>
        <w:rPr>
          <w:rFonts w:hint="eastAsia" w:ascii="楷体" w:hAnsi="楷体" w:eastAsia="楷体"/>
          <w:spacing w:val="20"/>
          <w:sz w:val="24"/>
          <w:lang w:val="en-US" w:eastAsia="zh-CN"/>
        </w:rPr>
        <w:t>整体的发行方案设计、</w:t>
      </w:r>
      <w:r>
        <w:rPr>
          <w:rFonts w:hint="eastAsia" w:ascii="楷体" w:hAnsi="楷体" w:eastAsia="楷体"/>
          <w:spacing w:val="20"/>
          <w:sz w:val="24"/>
        </w:rPr>
        <w:t>发行金额、期限结构、发行方式、</w:t>
      </w:r>
      <w:r>
        <w:rPr>
          <w:rFonts w:hint="eastAsia" w:ascii="楷体" w:hAnsi="楷体" w:eastAsia="楷体"/>
          <w:spacing w:val="20"/>
          <w:sz w:val="24"/>
          <w:lang w:val="en-US" w:eastAsia="zh-CN"/>
        </w:rPr>
        <w:t>资金用途</w:t>
      </w:r>
      <w:r>
        <w:rPr>
          <w:rFonts w:hint="eastAsia" w:ascii="楷体" w:hAnsi="楷体" w:eastAsia="楷体"/>
          <w:spacing w:val="20"/>
          <w:sz w:val="24"/>
        </w:rPr>
        <w:t>和中介机构的组织等。</w:t>
      </w:r>
    </w:p>
    <w:p>
      <w:pPr>
        <w:spacing w:line="360" w:lineRule="auto"/>
        <w:ind w:firstLine="562" w:firstLineChars="200"/>
        <w:rPr>
          <w:rFonts w:hint="eastAsia" w:ascii="楷体" w:hAnsi="楷体" w:eastAsia="楷体"/>
          <w:b/>
          <w:bCs/>
          <w:spacing w:val="20"/>
          <w:sz w:val="24"/>
        </w:rPr>
      </w:pPr>
      <w:r>
        <w:rPr>
          <w:rFonts w:hint="eastAsia" w:ascii="楷体" w:hAnsi="楷体" w:eastAsia="楷体"/>
          <w:b/>
          <w:bCs/>
          <w:spacing w:val="20"/>
          <w:sz w:val="24"/>
          <w:lang w:val="en-US" w:eastAsia="zh-CN"/>
        </w:rPr>
        <w:t>二</w:t>
      </w:r>
      <w:r>
        <w:rPr>
          <w:rFonts w:hint="eastAsia" w:ascii="楷体" w:hAnsi="楷体" w:eastAsia="楷体"/>
          <w:b/>
          <w:bCs/>
          <w:spacing w:val="20"/>
          <w:sz w:val="24"/>
        </w:rPr>
        <w:t>、项目进度安排及掌控能力（</w:t>
      </w:r>
      <w:r>
        <w:rPr>
          <w:rFonts w:hint="eastAsia" w:ascii="楷体" w:hAnsi="楷体" w:eastAsia="楷体"/>
          <w:b/>
          <w:bCs/>
          <w:spacing w:val="20"/>
          <w:sz w:val="24"/>
          <w:lang w:val="en-US" w:eastAsia="zh-CN"/>
        </w:rPr>
        <w:t>15</w:t>
      </w:r>
      <w:r>
        <w:rPr>
          <w:rFonts w:hint="eastAsia" w:ascii="楷体" w:hAnsi="楷体" w:eastAsia="楷体"/>
          <w:b/>
          <w:bCs/>
          <w:spacing w:val="20"/>
          <w:sz w:val="24"/>
        </w:rPr>
        <w:t>分）。</w:t>
      </w:r>
    </w:p>
    <w:p>
      <w:pPr>
        <w:spacing w:line="360" w:lineRule="auto"/>
        <w:ind w:firstLine="560" w:firstLineChars="200"/>
        <w:rPr>
          <w:rFonts w:hint="eastAsia" w:ascii="楷体" w:hAnsi="楷体" w:eastAsia="楷体"/>
          <w:b/>
          <w:bCs/>
          <w:spacing w:val="20"/>
          <w:sz w:val="24"/>
          <w:lang w:val="en-US" w:eastAsia="zh-CN"/>
        </w:rPr>
      </w:pPr>
      <w:r>
        <w:rPr>
          <w:rFonts w:hint="eastAsia" w:ascii="楷体" w:hAnsi="楷体" w:eastAsia="楷体"/>
          <w:spacing w:val="20"/>
          <w:sz w:val="24"/>
          <w:lang w:val="en-US" w:eastAsia="zh-CN"/>
        </w:rPr>
        <w:t>主要包括项目整体的进度安排及掌控能力，</w:t>
      </w:r>
      <w:r>
        <w:rPr>
          <w:rFonts w:hint="eastAsia" w:ascii="楷体" w:hAnsi="楷体" w:eastAsia="楷体"/>
          <w:spacing w:val="20"/>
          <w:sz w:val="24"/>
        </w:rPr>
        <w:t>重点关注注册申报效率和发行时间进度安排，该部分请以表格形式列示（包括时间节点、工作内容和责任主体三项，时间采用T+N格式）</w:t>
      </w:r>
      <w:r>
        <w:rPr>
          <w:rFonts w:hint="eastAsia" w:ascii="楷体" w:hAnsi="楷体" w:eastAsia="楷体"/>
          <w:spacing w:val="20"/>
          <w:sz w:val="24"/>
          <w:lang w:eastAsia="zh-CN"/>
        </w:rPr>
        <w:t>。</w:t>
      </w:r>
    </w:p>
    <w:p>
      <w:pPr>
        <w:spacing w:line="360" w:lineRule="auto"/>
        <w:ind w:firstLine="562" w:firstLineChars="200"/>
        <w:rPr>
          <w:rFonts w:hint="eastAsia" w:ascii="楷体" w:hAnsi="楷体" w:eastAsia="楷体"/>
          <w:spacing w:val="20"/>
          <w:sz w:val="24"/>
        </w:rPr>
      </w:pPr>
      <w:r>
        <w:rPr>
          <w:rFonts w:hint="eastAsia" w:ascii="楷体" w:hAnsi="楷体" w:eastAsia="楷体"/>
          <w:b/>
          <w:bCs/>
          <w:spacing w:val="20"/>
          <w:sz w:val="24"/>
        </w:rPr>
        <w:t>三、项目的重视程度（</w:t>
      </w:r>
      <w:r>
        <w:rPr>
          <w:rFonts w:hint="eastAsia" w:ascii="楷体" w:hAnsi="楷体" w:eastAsia="楷体"/>
          <w:b/>
          <w:bCs/>
          <w:spacing w:val="20"/>
          <w:sz w:val="24"/>
          <w:lang w:val="en-US" w:eastAsia="zh-CN"/>
        </w:rPr>
        <w:t>20</w:t>
      </w:r>
      <w:r>
        <w:rPr>
          <w:rFonts w:hint="eastAsia" w:ascii="楷体" w:hAnsi="楷体" w:eastAsia="楷体"/>
          <w:b/>
          <w:bCs/>
          <w:spacing w:val="20"/>
          <w:sz w:val="24"/>
        </w:rPr>
        <w:t>分）</w:t>
      </w:r>
      <w:r>
        <w:rPr>
          <w:rFonts w:hint="eastAsia" w:ascii="楷体" w:hAnsi="楷体" w:eastAsia="楷体"/>
          <w:spacing w:val="20"/>
          <w:sz w:val="24"/>
        </w:rPr>
        <w:t>。</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主要包括项目重视程度、项目团队人员配备情况（姓名、职务、学历、项目经历等）、项目负责人、现场进驻人员、进驻时间、</w:t>
      </w:r>
      <w:r>
        <w:rPr>
          <w:rFonts w:hint="eastAsia" w:ascii="楷体" w:hAnsi="楷体" w:eastAsia="楷体"/>
          <w:spacing w:val="20"/>
          <w:sz w:val="24"/>
          <w:lang w:val="en-US" w:eastAsia="zh-CN"/>
        </w:rPr>
        <w:t>总部与交易所的沟通实力、</w:t>
      </w:r>
      <w:r>
        <w:rPr>
          <w:rFonts w:hint="eastAsia" w:ascii="楷体" w:hAnsi="楷体" w:eastAsia="楷体"/>
          <w:spacing w:val="20"/>
          <w:sz w:val="24"/>
        </w:rPr>
        <w:t>销售团队介绍等。</w:t>
      </w:r>
    </w:p>
    <w:p>
      <w:pPr>
        <w:spacing w:line="360" w:lineRule="auto"/>
        <w:ind w:firstLine="562" w:firstLineChars="200"/>
        <w:rPr>
          <w:rFonts w:hint="eastAsia" w:ascii="楷体" w:hAnsi="楷体" w:eastAsia="楷体"/>
          <w:spacing w:val="20"/>
          <w:sz w:val="24"/>
        </w:rPr>
      </w:pPr>
      <w:r>
        <w:rPr>
          <w:rFonts w:hint="eastAsia" w:ascii="楷体" w:hAnsi="楷体" w:eastAsia="楷体"/>
          <w:b/>
          <w:bCs/>
          <w:spacing w:val="20"/>
          <w:sz w:val="24"/>
          <w:lang w:val="en-US" w:eastAsia="zh-CN"/>
        </w:rPr>
        <w:t>四</w:t>
      </w:r>
      <w:r>
        <w:rPr>
          <w:rFonts w:hint="eastAsia" w:ascii="楷体" w:hAnsi="楷体" w:eastAsia="楷体"/>
          <w:b/>
          <w:bCs/>
          <w:spacing w:val="20"/>
          <w:sz w:val="24"/>
        </w:rPr>
        <w:t>、综合实力介绍（2</w:t>
      </w:r>
      <w:r>
        <w:rPr>
          <w:rFonts w:hint="eastAsia" w:ascii="楷体" w:hAnsi="楷体" w:eastAsia="楷体"/>
          <w:b/>
          <w:bCs/>
          <w:spacing w:val="20"/>
          <w:sz w:val="24"/>
          <w:lang w:val="en-US" w:eastAsia="zh-CN"/>
        </w:rPr>
        <w:t>0</w:t>
      </w:r>
      <w:r>
        <w:rPr>
          <w:rFonts w:hint="eastAsia" w:ascii="楷体" w:hAnsi="楷体" w:eastAsia="楷体"/>
          <w:b/>
          <w:bCs/>
          <w:spacing w:val="20"/>
          <w:sz w:val="24"/>
        </w:rPr>
        <w:t>分）</w:t>
      </w:r>
      <w:r>
        <w:rPr>
          <w:rFonts w:hint="eastAsia" w:ascii="楷体" w:hAnsi="楷体" w:eastAsia="楷体"/>
          <w:spacing w:val="20"/>
          <w:sz w:val="24"/>
        </w:rPr>
        <w:t>。</w:t>
      </w:r>
    </w:p>
    <w:p>
      <w:pPr>
        <w:spacing w:line="360" w:lineRule="auto"/>
        <w:ind w:firstLine="560" w:firstLineChars="200"/>
        <w:rPr>
          <w:rFonts w:hint="eastAsia" w:ascii="楷体" w:hAnsi="楷体" w:eastAsia="楷体"/>
          <w:spacing w:val="20"/>
          <w:sz w:val="24"/>
          <w:lang w:eastAsia="zh-CN"/>
        </w:rPr>
      </w:pPr>
      <w:r>
        <w:rPr>
          <w:rFonts w:hint="eastAsia" w:ascii="楷体" w:hAnsi="楷体" w:eastAsia="楷体"/>
          <w:spacing w:val="20"/>
          <w:sz w:val="24"/>
          <w:lang w:eastAsia="zh-CN"/>
        </w:rPr>
        <w:t>分为总</w:t>
      </w:r>
      <w:r>
        <w:rPr>
          <w:rFonts w:hint="eastAsia" w:ascii="楷体" w:hAnsi="楷体" w:eastAsia="楷体"/>
          <w:spacing w:val="20"/>
          <w:sz w:val="24"/>
          <w:lang w:val="en-US" w:eastAsia="zh-CN"/>
        </w:rPr>
        <w:t>业绩</w:t>
      </w:r>
      <w:r>
        <w:rPr>
          <w:rFonts w:hint="eastAsia" w:ascii="楷体" w:hAnsi="楷体" w:eastAsia="楷体"/>
          <w:spacing w:val="20"/>
          <w:sz w:val="24"/>
          <w:lang w:eastAsia="zh-CN"/>
        </w:rPr>
        <w:t>和</w:t>
      </w:r>
      <w:r>
        <w:rPr>
          <w:rFonts w:hint="eastAsia" w:ascii="楷体" w:hAnsi="楷体" w:eastAsia="楷体"/>
          <w:spacing w:val="20"/>
          <w:sz w:val="24"/>
          <w:lang w:val="en-US" w:eastAsia="zh-CN"/>
        </w:rPr>
        <w:t>类金融行业业绩</w:t>
      </w:r>
      <w:r>
        <w:rPr>
          <w:rFonts w:hint="eastAsia" w:ascii="楷体" w:hAnsi="楷体" w:eastAsia="楷体"/>
          <w:spacing w:val="20"/>
          <w:sz w:val="24"/>
          <w:lang w:eastAsia="zh-CN"/>
        </w:rPr>
        <w:t>，承销业绩统计时间段为</w:t>
      </w:r>
      <w:r>
        <w:rPr>
          <w:rFonts w:hint="eastAsia" w:ascii="楷体" w:hAnsi="楷体" w:eastAsia="楷体"/>
          <w:b/>
          <w:bCs/>
          <w:spacing w:val="20"/>
          <w:sz w:val="24"/>
          <w:lang w:eastAsia="zh-CN"/>
        </w:rPr>
        <w:t>20</w:t>
      </w:r>
      <w:r>
        <w:rPr>
          <w:rFonts w:hint="eastAsia" w:ascii="楷体" w:hAnsi="楷体" w:eastAsia="楷体"/>
          <w:b/>
          <w:bCs/>
          <w:spacing w:val="20"/>
          <w:sz w:val="24"/>
          <w:lang w:val="en-US" w:eastAsia="zh-CN"/>
        </w:rPr>
        <w:t>19</w:t>
      </w:r>
      <w:r>
        <w:rPr>
          <w:rFonts w:hint="eastAsia" w:ascii="楷体" w:hAnsi="楷体" w:eastAsia="楷体"/>
          <w:b/>
          <w:bCs/>
          <w:spacing w:val="20"/>
          <w:sz w:val="24"/>
          <w:lang w:eastAsia="zh-CN"/>
        </w:rPr>
        <w:t>年</w:t>
      </w:r>
      <w:r>
        <w:rPr>
          <w:rFonts w:hint="eastAsia" w:ascii="楷体" w:hAnsi="楷体" w:eastAsia="楷体"/>
          <w:b/>
          <w:bCs/>
          <w:spacing w:val="20"/>
          <w:sz w:val="24"/>
        </w:rPr>
        <w:t>1月1日-</w:t>
      </w:r>
      <w:r>
        <w:rPr>
          <w:rFonts w:hint="eastAsia" w:ascii="楷体" w:hAnsi="楷体" w:eastAsia="楷体"/>
          <w:b/>
          <w:bCs/>
          <w:spacing w:val="20"/>
          <w:sz w:val="24"/>
          <w:lang w:eastAsia="zh-CN"/>
        </w:rPr>
        <w:t>20</w:t>
      </w:r>
      <w:r>
        <w:rPr>
          <w:rFonts w:hint="eastAsia" w:ascii="楷体" w:hAnsi="楷体" w:eastAsia="楷体"/>
          <w:b/>
          <w:bCs/>
          <w:spacing w:val="20"/>
          <w:sz w:val="24"/>
          <w:lang w:val="en-US" w:eastAsia="zh-CN"/>
        </w:rPr>
        <w:t>20</w:t>
      </w:r>
      <w:r>
        <w:rPr>
          <w:rFonts w:hint="eastAsia" w:ascii="楷体" w:hAnsi="楷体" w:eastAsia="楷体"/>
          <w:b/>
          <w:bCs/>
          <w:spacing w:val="20"/>
          <w:sz w:val="24"/>
          <w:lang w:eastAsia="zh-CN"/>
        </w:rPr>
        <w:t>年</w:t>
      </w:r>
      <w:r>
        <w:rPr>
          <w:rFonts w:hint="eastAsia" w:ascii="楷体" w:hAnsi="楷体" w:eastAsia="楷体"/>
          <w:b/>
          <w:bCs/>
          <w:spacing w:val="20"/>
          <w:sz w:val="24"/>
          <w:lang w:val="en-US" w:eastAsia="zh-CN"/>
        </w:rPr>
        <w:t>7</w:t>
      </w:r>
      <w:r>
        <w:rPr>
          <w:rFonts w:hint="eastAsia" w:ascii="楷体" w:hAnsi="楷体" w:eastAsia="楷体"/>
          <w:b/>
          <w:bCs/>
          <w:spacing w:val="20"/>
          <w:sz w:val="24"/>
          <w:lang w:eastAsia="zh-CN"/>
        </w:rPr>
        <w:t>月3</w:t>
      </w:r>
      <w:r>
        <w:rPr>
          <w:rFonts w:hint="eastAsia" w:ascii="楷体" w:hAnsi="楷体" w:eastAsia="楷体"/>
          <w:b/>
          <w:bCs/>
          <w:spacing w:val="20"/>
          <w:sz w:val="24"/>
          <w:lang w:val="en-US" w:eastAsia="zh-CN"/>
        </w:rPr>
        <w:t>1</w:t>
      </w:r>
      <w:r>
        <w:rPr>
          <w:rFonts w:hint="eastAsia" w:ascii="楷体" w:hAnsi="楷体" w:eastAsia="楷体"/>
          <w:b/>
          <w:bCs/>
          <w:spacing w:val="20"/>
          <w:sz w:val="24"/>
          <w:lang w:eastAsia="zh-CN"/>
        </w:rPr>
        <w:t>日</w:t>
      </w:r>
      <w:r>
        <w:rPr>
          <w:rFonts w:hint="eastAsia" w:ascii="楷体" w:hAnsi="楷体" w:eastAsia="楷体"/>
          <w:spacing w:val="20"/>
          <w:sz w:val="24"/>
          <w:lang w:eastAsia="zh-CN"/>
        </w:rPr>
        <w:t>。</w:t>
      </w:r>
    </w:p>
    <w:tbl>
      <w:tblPr>
        <w:tblStyle w:val="7"/>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7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spacing w:val="20"/>
                <w:sz w:val="24"/>
                <w:vertAlign w:val="baseline"/>
                <w:lang w:eastAsia="zh-CN"/>
              </w:rPr>
            </w:pPr>
            <w:r>
              <w:rPr>
                <w:rFonts w:hint="eastAsia" w:ascii="楷体" w:hAnsi="楷体" w:eastAsia="楷体"/>
                <w:spacing w:val="20"/>
                <w:sz w:val="24"/>
                <w:vertAlign w:val="baseline"/>
                <w:lang w:eastAsia="zh-CN"/>
              </w:rPr>
              <w:t>序号</w:t>
            </w:r>
          </w:p>
        </w:tc>
        <w:tc>
          <w:tcPr>
            <w:tcW w:w="7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 w:hAnsi="楷体" w:eastAsia="楷体"/>
                <w:spacing w:val="20"/>
                <w:sz w:val="24"/>
                <w:vertAlign w:val="baseline"/>
                <w:lang w:eastAsia="zh-CN"/>
              </w:rPr>
            </w:pPr>
            <w:r>
              <w:rPr>
                <w:rFonts w:hint="eastAsia" w:ascii="楷体" w:hAnsi="楷体" w:eastAsia="楷体"/>
                <w:spacing w:val="20"/>
                <w:sz w:val="24"/>
                <w:vertAlign w:val="baseline"/>
                <w:lang w:eastAsia="zh-CN"/>
              </w:rPr>
              <w:t>承销业绩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 w:hAnsi="楷体" w:eastAsia="楷体"/>
                <w:spacing w:val="20"/>
                <w:sz w:val="24"/>
                <w:vertAlign w:val="baseline"/>
                <w:lang w:val="en-US" w:eastAsia="zh-CN"/>
              </w:rPr>
            </w:pPr>
            <w:r>
              <w:rPr>
                <w:rFonts w:hint="eastAsia" w:ascii="楷体" w:hAnsi="楷体" w:eastAsia="楷体"/>
                <w:spacing w:val="20"/>
                <w:sz w:val="24"/>
                <w:vertAlign w:val="baseline"/>
                <w:lang w:val="en-US" w:eastAsia="zh-CN"/>
              </w:rPr>
              <w:t>1</w:t>
            </w:r>
          </w:p>
        </w:tc>
        <w:tc>
          <w:tcPr>
            <w:tcW w:w="7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 w:hAnsi="楷体" w:eastAsia="楷体"/>
                <w:spacing w:val="20"/>
                <w:sz w:val="24"/>
                <w:vertAlign w:val="baseline"/>
                <w:lang w:eastAsia="zh-CN"/>
              </w:rPr>
            </w:pPr>
            <w:r>
              <w:rPr>
                <w:rFonts w:hint="eastAsia" w:ascii="楷体" w:hAnsi="楷体" w:eastAsia="楷体"/>
                <w:spacing w:val="20"/>
                <w:sz w:val="24"/>
              </w:rPr>
              <w:t>成功承销全国范围</w:t>
            </w:r>
            <w:r>
              <w:rPr>
                <w:rFonts w:hint="eastAsia" w:ascii="楷体" w:hAnsi="楷体" w:eastAsia="楷体"/>
                <w:spacing w:val="20"/>
                <w:sz w:val="24"/>
                <w:lang w:val="en-US" w:eastAsia="zh-CN"/>
              </w:rPr>
              <w:t>公司债</w:t>
            </w:r>
            <w:r>
              <w:rPr>
                <w:rFonts w:hint="eastAsia" w:ascii="楷体" w:hAnsi="楷体" w:eastAsia="楷体"/>
                <w:spacing w:val="20"/>
                <w:sz w:val="24"/>
              </w:rPr>
              <w:t>（</w:t>
            </w:r>
            <w:r>
              <w:rPr>
                <w:rFonts w:hint="eastAsia" w:ascii="楷体" w:hAnsi="楷体" w:eastAsia="楷体"/>
                <w:spacing w:val="20"/>
                <w:sz w:val="24"/>
                <w:lang w:val="en-US" w:eastAsia="zh-CN"/>
              </w:rPr>
              <w:t>包含公开发行、非公开发行</w:t>
            </w:r>
            <w:r>
              <w:rPr>
                <w:rFonts w:hint="eastAsia" w:ascii="楷体" w:hAnsi="楷体" w:eastAsia="楷体"/>
                <w:spacing w:val="20"/>
                <w:sz w:val="24"/>
              </w:rPr>
              <w:t>）家数</w:t>
            </w:r>
            <w:r>
              <w:rPr>
                <w:rFonts w:hint="eastAsia" w:ascii="楷体" w:hAnsi="楷体" w:eastAsia="楷体"/>
                <w:spacing w:val="20"/>
                <w:sz w:val="24"/>
                <w:lang w:eastAsia="zh-CN"/>
              </w:rPr>
              <w:t>排名（</w:t>
            </w:r>
            <w:r>
              <w:rPr>
                <w:rFonts w:hint="eastAsia" w:ascii="楷体" w:hAnsi="楷体" w:eastAsia="楷体"/>
                <w:spacing w:val="20"/>
                <w:sz w:val="24"/>
                <w:lang w:val="en-US" w:eastAsia="zh-CN"/>
              </w:rPr>
              <w:t>盖章</w:t>
            </w:r>
            <w:r>
              <w:rPr>
                <w:rFonts w:hint="eastAsia" w:ascii="楷体" w:hAnsi="楷体" w:eastAsia="楷体"/>
                <w:spacing w:val="2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 w:hAnsi="楷体" w:eastAsia="楷体"/>
                <w:spacing w:val="20"/>
                <w:sz w:val="24"/>
                <w:vertAlign w:val="baseline"/>
                <w:lang w:val="en-US" w:eastAsia="zh-CN"/>
              </w:rPr>
            </w:pPr>
            <w:r>
              <w:rPr>
                <w:rFonts w:hint="eastAsia" w:ascii="楷体" w:hAnsi="楷体" w:eastAsia="楷体"/>
                <w:spacing w:val="20"/>
                <w:sz w:val="24"/>
                <w:vertAlign w:val="baseline"/>
                <w:lang w:val="en-US" w:eastAsia="zh-CN"/>
              </w:rPr>
              <w:t>2</w:t>
            </w:r>
          </w:p>
        </w:tc>
        <w:tc>
          <w:tcPr>
            <w:tcW w:w="7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 w:hAnsi="楷体" w:eastAsia="楷体"/>
                <w:spacing w:val="20"/>
                <w:sz w:val="24"/>
                <w:lang w:eastAsia="zh-CN"/>
              </w:rPr>
            </w:pPr>
            <w:r>
              <w:rPr>
                <w:rFonts w:hint="eastAsia" w:ascii="楷体" w:hAnsi="楷体" w:eastAsia="楷体"/>
                <w:spacing w:val="20"/>
                <w:sz w:val="24"/>
              </w:rPr>
              <w:t>成功承销全国范围</w:t>
            </w:r>
            <w:r>
              <w:rPr>
                <w:rFonts w:hint="eastAsia" w:ascii="楷体" w:hAnsi="楷体" w:eastAsia="楷体"/>
                <w:spacing w:val="20"/>
                <w:sz w:val="24"/>
                <w:lang w:val="en-US" w:eastAsia="zh-CN"/>
              </w:rPr>
              <w:t>公司债</w:t>
            </w:r>
            <w:r>
              <w:rPr>
                <w:rFonts w:hint="eastAsia" w:ascii="楷体" w:hAnsi="楷体" w:eastAsia="楷体"/>
                <w:spacing w:val="20"/>
                <w:sz w:val="24"/>
              </w:rPr>
              <w:t>（</w:t>
            </w:r>
            <w:r>
              <w:rPr>
                <w:rFonts w:hint="eastAsia" w:ascii="楷体" w:hAnsi="楷体" w:eastAsia="楷体"/>
                <w:spacing w:val="20"/>
                <w:sz w:val="24"/>
                <w:lang w:val="en-US" w:eastAsia="zh-CN"/>
              </w:rPr>
              <w:t>包含公开发行、非公开发行</w:t>
            </w:r>
            <w:r>
              <w:rPr>
                <w:rFonts w:hint="eastAsia" w:ascii="楷体" w:hAnsi="楷体" w:eastAsia="楷体"/>
                <w:spacing w:val="20"/>
                <w:sz w:val="24"/>
              </w:rPr>
              <w:t>）</w:t>
            </w:r>
            <w:r>
              <w:rPr>
                <w:rFonts w:hint="eastAsia" w:ascii="楷体" w:hAnsi="楷体" w:eastAsia="楷体"/>
                <w:spacing w:val="20"/>
                <w:sz w:val="24"/>
                <w:lang w:eastAsia="zh-CN"/>
              </w:rPr>
              <w:t>金额</w:t>
            </w:r>
            <w:r>
              <w:rPr>
                <w:rFonts w:hint="eastAsia" w:ascii="楷体" w:hAnsi="楷体" w:eastAsia="楷体"/>
                <w:spacing w:val="20"/>
                <w:sz w:val="24"/>
                <w:lang w:val="en-US" w:eastAsia="zh-CN"/>
              </w:rPr>
              <w:t>排名</w:t>
            </w:r>
            <w:r>
              <w:rPr>
                <w:rFonts w:hint="eastAsia" w:ascii="楷体" w:hAnsi="楷体" w:eastAsia="楷体"/>
                <w:spacing w:val="20"/>
                <w:sz w:val="24"/>
                <w:lang w:eastAsia="zh-CN"/>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 w:hAnsi="楷体" w:eastAsia="楷体"/>
                <w:spacing w:val="20"/>
                <w:sz w:val="24"/>
                <w:vertAlign w:val="baseline"/>
                <w:lang w:val="en-US" w:eastAsia="zh-CN"/>
              </w:rPr>
            </w:pPr>
            <w:r>
              <w:rPr>
                <w:rFonts w:hint="eastAsia" w:ascii="楷体" w:hAnsi="楷体" w:eastAsia="楷体"/>
                <w:spacing w:val="20"/>
                <w:sz w:val="24"/>
                <w:vertAlign w:val="baseline"/>
                <w:lang w:val="en-US" w:eastAsia="zh-CN"/>
              </w:rPr>
              <w:t>3</w:t>
            </w:r>
          </w:p>
        </w:tc>
        <w:tc>
          <w:tcPr>
            <w:tcW w:w="7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 w:hAnsi="楷体" w:eastAsia="楷体"/>
                <w:spacing w:val="20"/>
                <w:sz w:val="24"/>
                <w:vertAlign w:val="baseline"/>
                <w:lang w:eastAsia="zh-CN"/>
              </w:rPr>
            </w:pPr>
            <w:r>
              <w:rPr>
                <w:rFonts w:hint="eastAsia" w:ascii="楷体" w:hAnsi="楷体" w:eastAsia="楷体"/>
                <w:spacing w:val="20"/>
                <w:sz w:val="24"/>
              </w:rPr>
              <w:t>成功承销</w:t>
            </w:r>
            <w:r>
              <w:rPr>
                <w:rFonts w:hint="eastAsia" w:ascii="楷体" w:hAnsi="楷体" w:eastAsia="楷体"/>
                <w:spacing w:val="20"/>
                <w:sz w:val="24"/>
                <w:lang w:val="en-US" w:eastAsia="zh-CN"/>
              </w:rPr>
              <w:t>类金融行业公司债</w:t>
            </w:r>
            <w:r>
              <w:rPr>
                <w:rFonts w:hint="eastAsia" w:ascii="楷体" w:hAnsi="楷体" w:eastAsia="楷体"/>
                <w:spacing w:val="20"/>
                <w:sz w:val="24"/>
              </w:rPr>
              <w:t>（</w:t>
            </w:r>
            <w:r>
              <w:rPr>
                <w:rFonts w:hint="eastAsia" w:ascii="楷体" w:hAnsi="楷体" w:eastAsia="楷体"/>
                <w:spacing w:val="20"/>
                <w:sz w:val="24"/>
                <w:lang w:val="en-US" w:eastAsia="zh-CN"/>
              </w:rPr>
              <w:t>包含公开发行、非公开发行</w:t>
            </w:r>
            <w:r>
              <w:rPr>
                <w:rFonts w:hint="eastAsia" w:ascii="楷体" w:hAnsi="楷体" w:eastAsia="楷体"/>
                <w:spacing w:val="20"/>
                <w:sz w:val="24"/>
              </w:rPr>
              <w:t>）</w:t>
            </w:r>
            <w:r>
              <w:rPr>
                <w:rFonts w:hint="eastAsia" w:ascii="楷体" w:hAnsi="楷体" w:eastAsia="楷体"/>
                <w:spacing w:val="20"/>
                <w:sz w:val="24"/>
                <w:lang w:val="en-US" w:eastAsia="zh-CN"/>
              </w:rPr>
              <w:t>家数</w:t>
            </w:r>
            <w:r>
              <w:rPr>
                <w:rFonts w:hint="eastAsia" w:ascii="楷体" w:hAnsi="楷体" w:eastAsia="楷体"/>
                <w:spacing w:val="20"/>
                <w:sz w:val="24"/>
                <w:lang w:eastAsia="zh-CN"/>
              </w:rPr>
              <w:t>排名（</w:t>
            </w:r>
            <w:r>
              <w:rPr>
                <w:rFonts w:hint="eastAsia" w:ascii="楷体" w:hAnsi="楷体" w:eastAsia="楷体"/>
                <w:spacing w:val="20"/>
                <w:sz w:val="24"/>
                <w:lang w:val="en-US" w:eastAsia="zh-CN"/>
              </w:rPr>
              <w:t>盖章</w:t>
            </w:r>
            <w:r>
              <w:rPr>
                <w:rFonts w:hint="eastAsia" w:ascii="楷体" w:hAnsi="楷体" w:eastAsia="楷体"/>
                <w:spacing w:val="2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91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楷体" w:hAnsi="楷体" w:eastAsia="楷体"/>
                <w:spacing w:val="20"/>
                <w:sz w:val="24"/>
                <w:vertAlign w:val="baseline"/>
                <w:lang w:val="en-US" w:eastAsia="zh-CN"/>
              </w:rPr>
            </w:pPr>
            <w:r>
              <w:rPr>
                <w:rFonts w:hint="eastAsia" w:ascii="楷体" w:hAnsi="楷体" w:eastAsia="楷体"/>
                <w:spacing w:val="20"/>
                <w:sz w:val="24"/>
                <w:vertAlign w:val="baseline"/>
                <w:lang w:val="en-US" w:eastAsia="zh-CN"/>
              </w:rPr>
              <w:t>4</w:t>
            </w:r>
          </w:p>
        </w:tc>
        <w:tc>
          <w:tcPr>
            <w:tcW w:w="796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楷体" w:hAnsi="楷体" w:eastAsia="楷体"/>
                <w:spacing w:val="20"/>
                <w:sz w:val="24"/>
                <w:vertAlign w:val="baseline"/>
                <w:lang w:eastAsia="zh-CN"/>
              </w:rPr>
            </w:pPr>
            <w:r>
              <w:rPr>
                <w:rFonts w:hint="eastAsia" w:ascii="楷体" w:hAnsi="楷体" w:eastAsia="楷体"/>
                <w:spacing w:val="20"/>
                <w:sz w:val="24"/>
              </w:rPr>
              <w:t>成功承销</w:t>
            </w:r>
            <w:r>
              <w:rPr>
                <w:rFonts w:hint="eastAsia" w:ascii="楷体" w:hAnsi="楷体" w:eastAsia="楷体"/>
                <w:spacing w:val="20"/>
                <w:sz w:val="24"/>
                <w:lang w:val="en-US" w:eastAsia="zh-CN"/>
              </w:rPr>
              <w:t>类金融行业公司债</w:t>
            </w:r>
            <w:r>
              <w:rPr>
                <w:rFonts w:hint="eastAsia" w:ascii="楷体" w:hAnsi="楷体" w:eastAsia="楷体"/>
                <w:spacing w:val="20"/>
                <w:sz w:val="24"/>
              </w:rPr>
              <w:t>（</w:t>
            </w:r>
            <w:r>
              <w:rPr>
                <w:rFonts w:hint="eastAsia" w:ascii="楷体" w:hAnsi="楷体" w:eastAsia="楷体"/>
                <w:spacing w:val="20"/>
                <w:sz w:val="24"/>
                <w:lang w:val="en-US" w:eastAsia="zh-CN"/>
              </w:rPr>
              <w:t>包含公开发行、非公开发行</w:t>
            </w:r>
            <w:r>
              <w:rPr>
                <w:rFonts w:hint="eastAsia" w:ascii="楷体" w:hAnsi="楷体" w:eastAsia="楷体"/>
                <w:spacing w:val="20"/>
                <w:sz w:val="24"/>
              </w:rPr>
              <w:t>）</w:t>
            </w:r>
            <w:r>
              <w:rPr>
                <w:rFonts w:hint="eastAsia" w:ascii="楷体" w:hAnsi="楷体" w:eastAsia="楷体"/>
                <w:spacing w:val="20"/>
                <w:sz w:val="24"/>
                <w:lang w:val="en-US" w:eastAsia="zh-CN"/>
              </w:rPr>
              <w:t>金额</w:t>
            </w:r>
            <w:r>
              <w:rPr>
                <w:rFonts w:hint="eastAsia" w:ascii="楷体" w:hAnsi="楷体" w:eastAsia="楷体"/>
                <w:spacing w:val="20"/>
                <w:sz w:val="24"/>
                <w:lang w:eastAsia="zh-CN"/>
              </w:rPr>
              <w:t>排名（</w:t>
            </w:r>
            <w:r>
              <w:rPr>
                <w:rFonts w:hint="eastAsia" w:ascii="楷体" w:hAnsi="楷体" w:eastAsia="楷体"/>
                <w:spacing w:val="20"/>
                <w:sz w:val="24"/>
                <w:lang w:val="en-US" w:eastAsia="zh-CN"/>
              </w:rPr>
              <w:t>盖章</w:t>
            </w:r>
            <w:r>
              <w:rPr>
                <w:rFonts w:hint="eastAsia" w:ascii="楷体" w:hAnsi="楷体" w:eastAsia="楷体"/>
                <w:spacing w:val="20"/>
                <w:sz w:val="24"/>
                <w:lang w:eastAsia="zh-CN"/>
              </w:rPr>
              <w:t>）</w:t>
            </w:r>
          </w:p>
        </w:tc>
      </w:tr>
    </w:tbl>
    <w:p>
      <w:pPr>
        <w:spacing w:line="360" w:lineRule="auto"/>
        <w:ind w:firstLine="562" w:firstLineChars="200"/>
        <w:rPr>
          <w:rFonts w:hint="default" w:ascii="楷体" w:hAnsi="楷体" w:eastAsia="楷体"/>
          <w:b/>
          <w:bCs/>
          <w:spacing w:val="20"/>
          <w:sz w:val="24"/>
          <w:lang w:val="en-US" w:eastAsia="zh-CN"/>
        </w:rPr>
      </w:pPr>
      <w:r>
        <w:rPr>
          <w:rFonts w:hint="eastAsia" w:ascii="楷体" w:hAnsi="楷体" w:eastAsia="楷体"/>
          <w:b/>
          <w:bCs/>
          <w:spacing w:val="20"/>
          <w:sz w:val="24"/>
          <w:lang w:val="en-US" w:eastAsia="zh-CN"/>
        </w:rPr>
        <w:t>注：承销业绩统计以Wind统计为准，类金融行业分类为多元金融服务。</w:t>
      </w:r>
    </w:p>
    <w:p>
      <w:pPr>
        <w:spacing w:line="360" w:lineRule="auto"/>
        <w:ind w:firstLine="562" w:firstLineChars="200"/>
        <w:rPr>
          <w:rFonts w:hint="eastAsia" w:ascii="楷体" w:hAnsi="楷体" w:eastAsia="楷体"/>
          <w:b/>
          <w:bCs/>
          <w:spacing w:val="20"/>
          <w:sz w:val="24"/>
        </w:rPr>
      </w:pPr>
      <w:r>
        <w:rPr>
          <w:rFonts w:hint="eastAsia" w:ascii="楷体" w:hAnsi="楷体" w:eastAsia="楷体"/>
          <w:b/>
          <w:bCs/>
          <w:spacing w:val="20"/>
          <w:sz w:val="24"/>
          <w:lang w:val="en-US" w:eastAsia="zh-CN"/>
        </w:rPr>
        <w:t>五</w:t>
      </w:r>
      <w:r>
        <w:rPr>
          <w:rFonts w:hint="eastAsia" w:ascii="楷体" w:hAnsi="楷体" w:eastAsia="楷体"/>
          <w:b/>
          <w:bCs/>
          <w:spacing w:val="20"/>
          <w:sz w:val="24"/>
        </w:rPr>
        <w:t>、承销费率报价（10分）。</w:t>
      </w:r>
    </w:p>
    <w:p>
      <w:pPr>
        <w:spacing w:line="360" w:lineRule="auto"/>
        <w:ind w:firstLine="560" w:firstLineChars="200"/>
        <w:rPr>
          <w:rFonts w:hint="eastAsia" w:ascii="楷体" w:hAnsi="楷体" w:eastAsia="楷体"/>
          <w:b/>
          <w:bCs/>
          <w:spacing w:val="20"/>
          <w:sz w:val="24"/>
          <w:lang w:val="en-US" w:eastAsia="zh-CN"/>
        </w:rPr>
      </w:pPr>
      <w:r>
        <w:rPr>
          <w:rFonts w:hint="eastAsia" w:ascii="楷体" w:hAnsi="楷体" w:eastAsia="楷体"/>
          <w:spacing w:val="20"/>
          <w:sz w:val="24"/>
        </w:rPr>
        <w:t>承销费率报价</w:t>
      </w:r>
      <w:r>
        <w:rPr>
          <w:rFonts w:hint="eastAsia" w:ascii="楷体" w:hAnsi="楷体" w:eastAsia="楷体"/>
          <w:spacing w:val="20"/>
          <w:sz w:val="24"/>
          <w:lang w:val="en-US" w:eastAsia="zh-CN"/>
        </w:rPr>
        <w:t>越低得分越高，费率</w:t>
      </w:r>
      <w:r>
        <w:rPr>
          <w:rFonts w:hint="eastAsia" w:ascii="楷体" w:hAnsi="楷体" w:eastAsia="楷体"/>
          <w:spacing w:val="20"/>
          <w:sz w:val="24"/>
        </w:rPr>
        <w:t>最低者为10分。</w:t>
      </w:r>
    </w:p>
    <w:p>
      <w:pPr>
        <w:spacing w:line="360" w:lineRule="auto"/>
        <w:ind w:firstLine="562" w:firstLineChars="200"/>
        <w:rPr>
          <w:rFonts w:hint="eastAsia" w:ascii="楷体" w:hAnsi="楷体" w:eastAsia="楷体"/>
          <w:b/>
          <w:bCs/>
          <w:spacing w:val="20"/>
          <w:sz w:val="24"/>
        </w:rPr>
      </w:pPr>
      <w:r>
        <w:rPr>
          <w:rFonts w:hint="eastAsia" w:ascii="楷体" w:hAnsi="楷体" w:eastAsia="楷体"/>
          <w:b/>
          <w:bCs/>
          <w:spacing w:val="20"/>
          <w:sz w:val="24"/>
          <w:lang w:val="en-US" w:eastAsia="zh-CN"/>
        </w:rPr>
        <w:t>六</w:t>
      </w:r>
      <w:r>
        <w:rPr>
          <w:rFonts w:hint="eastAsia" w:ascii="楷体" w:hAnsi="楷体" w:eastAsia="楷体"/>
          <w:b/>
          <w:bCs/>
          <w:spacing w:val="20"/>
          <w:sz w:val="24"/>
        </w:rPr>
        <w:t>、发行利率期限承诺（5分）。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楷体" w:hAnsi="楷体" w:eastAsia="楷体"/>
          <w:spacing w:val="20"/>
          <w:sz w:val="24"/>
        </w:rPr>
        <w:sectPr>
          <w:type w:val="continuous"/>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楷体" w:hAnsi="楷体" w:eastAsia="楷体"/>
          <w:spacing w:val="20"/>
          <w:sz w:val="24"/>
        </w:rPr>
        <w:t>根据利率承诺及历史发行业绩对比获得相应得分。</w:t>
      </w:r>
    </w:p>
    <w:p>
      <w:pPr>
        <w:spacing w:line="360" w:lineRule="auto"/>
        <w:rPr>
          <w:rFonts w:hint="eastAsia" w:ascii="楷体" w:hAnsi="楷体" w:eastAsia="楷体"/>
          <w:spacing w:val="20"/>
          <w:sz w:val="24"/>
        </w:rPr>
        <w:sectPr>
          <w:type w:val="continuous"/>
          <w:pgSz w:w="11906" w:h="16838"/>
          <w:pgMar w:top="1440" w:right="1797" w:bottom="1440" w:left="1797"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p>
    <w:p>
      <w:pPr>
        <w:pStyle w:val="2"/>
        <w:bidi w:val="0"/>
        <w:jc w:val="center"/>
        <w:rPr>
          <w:rFonts w:hint="eastAsia"/>
          <w:b/>
          <w:bCs/>
          <w:lang w:val="en-US" w:eastAsia="zh-CN"/>
        </w:rPr>
      </w:pPr>
      <w:bookmarkStart w:id="4" w:name="_Toc4982"/>
      <w:r>
        <w:rPr>
          <w:rFonts w:hint="eastAsia"/>
          <w:b/>
          <w:bCs/>
          <w:lang w:eastAsia="zh-CN"/>
        </w:rPr>
        <w:t>第五章</w:t>
      </w:r>
      <w:r>
        <w:rPr>
          <w:rFonts w:hint="eastAsia"/>
          <w:b/>
          <w:bCs/>
          <w:lang w:val="en-US" w:eastAsia="zh-CN"/>
        </w:rPr>
        <w:t xml:space="preserve"> 招标文件格式</w:t>
      </w:r>
      <w:bookmarkEnd w:id="4"/>
      <w:r>
        <w:rPr>
          <w:rFonts w:hint="eastAsia"/>
          <w:b/>
          <w:bCs/>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480" w:lineRule="auto"/>
        <w:jc w:val="center"/>
        <w:textAlignment w:val="auto"/>
        <w:outlineLvl w:val="9"/>
        <w:rPr>
          <w:rFonts w:hint="eastAsia" w:ascii="Times New Roman" w:hAnsi="Times New Roman" w:eastAsia="方正小标宋简体" w:cs="Times New Roman"/>
          <w:sz w:val="56"/>
          <w:szCs w:val="56"/>
          <w:lang w:val="en-US" w:eastAsia="zh-CN"/>
        </w:rPr>
      </w:pPr>
      <w:r>
        <w:rPr>
          <w:rFonts w:hint="eastAsia" w:eastAsia="方正小标宋简体" w:cs="Times New Roman"/>
          <w:sz w:val="58"/>
          <w:szCs w:val="58"/>
          <w:lang w:val="en-US" w:eastAsia="zh-CN"/>
        </w:rPr>
        <w:t>安徽安诚金融控股集团</w:t>
      </w:r>
      <w:r>
        <w:rPr>
          <w:rFonts w:hint="eastAsia" w:ascii="Times New Roman" w:hAnsi="Times New Roman" w:eastAsia="方正小标宋简体" w:cs="Times New Roman"/>
          <w:sz w:val="58"/>
          <w:szCs w:val="58"/>
          <w:lang w:val="en-US" w:eastAsia="zh-CN"/>
        </w:rPr>
        <w:t>有限公司</w:t>
      </w:r>
    </w:p>
    <w:p>
      <w:pPr>
        <w:keepNext w:val="0"/>
        <w:keepLines w:val="0"/>
        <w:pageBreakBefore w:val="0"/>
        <w:widowControl w:val="0"/>
        <w:kinsoku/>
        <w:wordWrap w:val="0"/>
        <w:overflowPunct/>
        <w:topLinePunct w:val="0"/>
        <w:autoSpaceDE/>
        <w:autoSpaceDN/>
        <w:bidi w:val="0"/>
        <w:adjustRightInd/>
        <w:snapToGrid/>
        <w:spacing w:line="480" w:lineRule="auto"/>
        <w:jc w:val="center"/>
        <w:textAlignment w:val="auto"/>
        <w:outlineLvl w:val="9"/>
        <w:rPr>
          <w:rFonts w:hint="default" w:ascii="Times New Roman" w:hAnsi="Times New Roman" w:eastAsia="方正小标宋简体" w:cs="Times New Roman"/>
          <w:sz w:val="40"/>
          <w:szCs w:val="40"/>
          <w:lang w:val="en-US" w:eastAsia="zh-CN"/>
        </w:rPr>
      </w:pPr>
      <w:r>
        <w:rPr>
          <w:rFonts w:hint="eastAsia" w:eastAsia="方正小标宋简体" w:cs="Times New Roman"/>
          <w:sz w:val="40"/>
          <w:szCs w:val="40"/>
          <w:lang w:val="en-US" w:eastAsia="zh-CN"/>
        </w:rPr>
        <w:t>2020年非公开发行公司债券</w:t>
      </w:r>
      <w:r>
        <w:rPr>
          <w:rFonts w:hint="default" w:ascii="Times New Roman" w:hAnsi="Times New Roman" w:eastAsia="方正小标宋简体" w:cs="Times New Roman"/>
          <w:sz w:val="40"/>
          <w:szCs w:val="40"/>
          <w:lang w:val="en-US" w:eastAsia="zh-CN"/>
        </w:rPr>
        <w:t>主承销商</w:t>
      </w:r>
    </w:p>
    <w:p>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投</w:t>
      </w:r>
    </w:p>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方正小标宋简体" w:cs="Times New Roman"/>
          <w:sz w:val="96"/>
          <w:szCs w:val="96"/>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标</w:t>
      </w:r>
    </w:p>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方正小标宋简体" w:cs="Times New Roman"/>
          <w:sz w:val="96"/>
          <w:szCs w:val="96"/>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sz w:val="96"/>
          <w:szCs w:val="96"/>
          <w:lang w:val="en-US" w:eastAsia="zh-CN"/>
        </w:rPr>
      </w:pPr>
      <w:r>
        <w:rPr>
          <w:rFonts w:hint="default" w:ascii="Times New Roman" w:hAnsi="Times New Roman" w:eastAsia="方正小标宋简体" w:cs="Times New Roman"/>
          <w:sz w:val="96"/>
          <w:szCs w:val="96"/>
          <w:lang w:val="en-US" w:eastAsia="zh-CN"/>
        </w:rPr>
        <w:t>文</w:t>
      </w:r>
    </w:p>
    <w:p>
      <w:pPr>
        <w:keepNext w:val="0"/>
        <w:keepLines w:val="0"/>
        <w:pageBreakBefore w:val="0"/>
        <w:widowControl w:val="0"/>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方正小标宋简体" w:cs="Times New Roman"/>
          <w:sz w:val="96"/>
          <w:szCs w:val="96"/>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方正小标宋简体" w:cs="Times New Roman"/>
          <w:sz w:val="96"/>
          <w:szCs w:val="96"/>
          <w:lang w:val="en-US" w:eastAsia="zh-CN"/>
        </w:rPr>
        <w:t>件</w:t>
      </w:r>
    </w:p>
    <w:p>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sz w:val="32"/>
          <w:szCs w:val="32"/>
          <w:u w:val="none"/>
          <w:lang w:val="en-US" w:eastAsia="zh-CN"/>
        </w:rPr>
      </w:pPr>
      <w:r>
        <w:rPr>
          <w:rFonts w:hint="default" w:ascii="Times New Roman" w:hAnsi="Times New Roman" w:eastAsia="黑体" w:cs="Times New Roman"/>
          <w:sz w:val="32"/>
          <w:szCs w:val="32"/>
          <w:u w:val="none"/>
          <w:lang w:val="en-US" w:eastAsia="zh-CN"/>
        </w:rPr>
        <w:t>（正本/副本）</w:t>
      </w:r>
    </w:p>
    <w:p>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投标人名称：</w:t>
      </w:r>
      <w:r>
        <w:rPr>
          <w:rFonts w:hint="default" w:ascii="Times New Roman" w:hAnsi="Times New Roman" w:eastAsia="仿宋_GB2312" w:cs="Times New Roman"/>
          <w:sz w:val="32"/>
          <w:szCs w:val="32"/>
          <w:u w:val="single"/>
          <w:lang w:val="en-US" w:eastAsia="zh-CN"/>
        </w:rPr>
        <w:t xml:space="preserve">                     （盖章）</w:t>
      </w:r>
    </w:p>
    <w:p>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20</w:t>
      </w:r>
      <w:r>
        <w:rPr>
          <w:rFonts w:hint="eastAsia" w:eastAsia="仿宋_GB2312" w:cs="Times New Roman"/>
          <w:sz w:val="32"/>
          <w:szCs w:val="32"/>
          <w:u w:val="none"/>
          <w:lang w:val="en-US" w:eastAsia="zh-CN"/>
        </w:rPr>
        <w:t>20</w:t>
      </w:r>
      <w:r>
        <w:rPr>
          <w:rFonts w:hint="default" w:ascii="Times New Roman" w:hAnsi="Times New Roman" w:eastAsia="仿宋_GB2312" w:cs="Times New Roman"/>
          <w:sz w:val="32"/>
          <w:szCs w:val="32"/>
          <w:u w:val="none"/>
          <w:lang w:val="en-US" w:eastAsia="zh-CN"/>
        </w:rPr>
        <w:t>年   月   日</w:t>
      </w:r>
    </w:p>
    <w:p>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val="0"/>
        <w:overflowPunct/>
        <w:topLinePunct w:val="0"/>
        <w:autoSpaceDE/>
        <w:autoSpaceDN/>
        <w:bidi w:val="0"/>
        <w:adjustRightInd/>
        <w:snapToGrid/>
        <w:spacing w:after="157" w:afterLines="50" w:line="520" w:lineRule="exact"/>
        <w:jc w:val="center"/>
        <w:textAlignment w:val="auto"/>
        <w:outlineLvl w:val="9"/>
        <w:rPr>
          <w:rFonts w:hint="eastAsia" w:ascii="方正楷体_GBK" w:hAnsi="方正楷体_GBK" w:eastAsia="方正楷体_GBK" w:cs="方正楷体_GBK"/>
          <w:sz w:val="36"/>
          <w:szCs w:val="36"/>
          <w:u w:val="none"/>
          <w:lang w:val="en-US" w:eastAsia="zh-CN"/>
        </w:rPr>
      </w:pPr>
    </w:p>
    <w:p>
      <w:pPr>
        <w:keepNext w:val="0"/>
        <w:keepLines w:val="0"/>
        <w:pageBreakBefore w:val="0"/>
        <w:widowControl w:val="0"/>
        <w:kinsoku/>
        <w:wordWrap w:val="0"/>
        <w:overflowPunct/>
        <w:topLinePunct w:val="0"/>
        <w:autoSpaceDE/>
        <w:autoSpaceDN/>
        <w:bidi w:val="0"/>
        <w:adjustRightInd/>
        <w:snapToGrid/>
        <w:spacing w:after="157" w:afterLines="50" w:line="520" w:lineRule="exact"/>
        <w:jc w:val="center"/>
        <w:textAlignment w:val="auto"/>
        <w:outlineLvl w:val="9"/>
        <w:rPr>
          <w:rFonts w:hint="eastAsia" w:ascii="方正楷体_GBK" w:hAnsi="方正楷体_GBK" w:eastAsia="方正楷体_GBK" w:cs="方正楷体_GBK"/>
          <w:sz w:val="36"/>
          <w:szCs w:val="36"/>
          <w:u w:val="none"/>
          <w:lang w:val="en-US" w:eastAsia="zh-CN"/>
        </w:rPr>
      </w:pPr>
      <w:r>
        <w:rPr>
          <w:rFonts w:hint="eastAsia" w:ascii="方正楷体_GBK" w:hAnsi="方正楷体_GBK" w:eastAsia="方正楷体_GBK" w:cs="方正楷体_GBK"/>
          <w:sz w:val="36"/>
          <w:szCs w:val="36"/>
          <w:u w:val="none"/>
          <w:lang w:val="en-US" w:eastAsia="zh-CN"/>
        </w:rPr>
        <w:t>目 录</w:t>
      </w:r>
    </w:p>
    <w:p>
      <w:pPr>
        <w:keepNext w:val="0"/>
        <w:keepLines w:val="0"/>
        <w:pageBreakBefore w:val="0"/>
        <w:widowControl w:val="0"/>
        <w:kinsoku/>
        <w:wordWrap w:val="0"/>
        <w:overflowPunct/>
        <w:topLinePunct w:val="0"/>
        <w:autoSpaceDE/>
        <w:autoSpaceDN/>
        <w:bidi w:val="0"/>
        <w:adjustRightInd/>
        <w:snapToGrid/>
        <w:spacing w:line="520" w:lineRule="exact"/>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一、公司简介及竞争优势说明</w:t>
      </w:r>
    </w:p>
    <w:p>
      <w:pPr>
        <w:keepNext w:val="0"/>
        <w:keepLines w:val="0"/>
        <w:pageBreakBefore w:val="0"/>
        <w:widowControl w:val="0"/>
        <w:kinsoku/>
        <w:wordWrap w:val="0"/>
        <w:overflowPunct/>
        <w:topLinePunct w:val="0"/>
        <w:autoSpaceDE/>
        <w:autoSpaceDN/>
        <w:bidi w:val="0"/>
        <w:adjustRightInd/>
        <w:snapToGrid/>
        <w:spacing w:line="520" w:lineRule="exact"/>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二、发行方案设计</w:t>
      </w:r>
    </w:p>
    <w:p>
      <w:pPr>
        <w:keepNext w:val="0"/>
        <w:keepLines w:val="0"/>
        <w:pageBreakBefore w:val="0"/>
        <w:widowControl w:val="0"/>
        <w:kinsoku/>
        <w:wordWrap w:val="0"/>
        <w:overflowPunct/>
        <w:topLinePunct w:val="0"/>
        <w:autoSpaceDE/>
        <w:autoSpaceDN/>
        <w:bidi w:val="0"/>
        <w:adjustRightInd/>
        <w:snapToGrid/>
        <w:spacing w:line="520" w:lineRule="exact"/>
        <w:ind w:left="640" w:hanging="480" w:hangingChars="200"/>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三、项目进度安排及掌控能力</w:t>
      </w:r>
    </w:p>
    <w:p>
      <w:pPr>
        <w:keepNext w:val="0"/>
        <w:keepLines w:val="0"/>
        <w:pageBreakBefore w:val="0"/>
        <w:widowControl w:val="0"/>
        <w:kinsoku/>
        <w:wordWrap w:val="0"/>
        <w:overflowPunct/>
        <w:topLinePunct w:val="0"/>
        <w:autoSpaceDE/>
        <w:autoSpaceDN/>
        <w:bidi w:val="0"/>
        <w:adjustRightInd/>
        <w:snapToGrid/>
        <w:spacing w:line="520" w:lineRule="exact"/>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四、项目的重视程度</w:t>
      </w:r>
    </w:p>
    <w:p>
      <w:pPr>
        <w:keepNext w:val="0"/>
        <w:keepLines w:val="0"/>
        <w:pageBreakBefore w:val="0"/>
        <w:widowControl w:val="0"/>
        <w:kinsoku/>
        <w:wordWrap w:val="0"/>
        <w:overflowPunct/>
        <w:topLinePunct w:val="0"/>
        <w:autoSpaceDE/>
        <w:autoSpaceDN/>
        <w:bidi w:val="0"/>
        <w:adjustRightInd/>
        <w:snapToGrid/>
        <w:spacing w:line="520" w:lineRule="exact"/>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五、综合实力介绍</w:t>
      </w:r>
    </w:p>
    <w:p>
      <w:pPr>
        <w:keepNext w:val="0"/>
        <w:keepLines w:val="0"/>
        <w:pageBreakBefore w:val="0"/>
        <w:widowControl w:val="0"/>
        <w:kinsoku/>
        <w:wordWrap w:val="0"/>
        <w:overflowPunct/>
        <w:topLinePunct w:val="0"/>
        <w:autoSpaceDE/>
        <w:autoSpaceDN/>
        <w:bidi w:val="0"/>
        <w:adjustRightInd/>
        <w:snapToGrid/>
        <w:spacing w:line="520" w:lineRule="exact"/>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六、承销费用报价</w:t>
      </w:r>
    </w:p>
    <w:p>
      <w:pPr>
        <w:keepNext w:val="0"/>
        <w:keepLines w:val="0"/>
        <w:pageBreakBefore w:val="0"/>
        <w:widowControl w:val="0"/>
        <w:kinsoku/>
        <w:wordWrap w:val="0"/>
        <w:overflowPunct/>
        <w:topLinePunct w:val="0"/>
        <w:autoSpaceDE/>
        <w:autoSpaceDN/>
        <w:bidi w:val="0"/>
        <w:adjustRightInd/>
        <w:snapToGrid/>
        <w:spacing w:line="520" w:lineRule="exact"/>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七、其他有助于完成本期公司债顺利发行的材料。</w:t>
      </w:r>
    </w:p>
    <w:p>
      <w:pPr>
        <w:keepNext w:val="0"/>
        <w:keepLines w:val="0"/>
        <w:pageBreakBefore w:val="0"/>
        <w:widowControl w:val="0"/>
        <w:kinsoku/>
        <w:wordWrap w:val="0"/>
        <w:overflowPunct/>
        <w:topLinePunct w:val="0"/>
        <w:autoSpaceDE/>
        <w:autoSpaceDN/>
        <w:bidi w:val="0"/>
        <w:adjustRightInd/>
        <w:snapToGrid/>
        <w:spacing w:line="520" w:lineRule="exact"/>
        <w:jc w:val="both"/>
        <w:textAlignment w:val="auto"/>
        <w:outlineLvl w:val="9"/>
        <w:rPr>
          <w:rFonts w:hint="eastAsia" w:ascii="楷体" w:hAnsi="楷体" w:eastAsia="楷体" w:cs="楷体"/>
          <w:b w:val="0"/>
          <w:bCs w:val="0"/>
          <w:sz w:val="24"/>
          <w:szCs w:val="24"/>
          <w:u w:val="none"/>
          <w:lang w:val="en-US" w:eastAsia="zh-CN"/>
        </w:rPr>
      </w:pPr>
      <w:r>
        <w:rPr>
          <w:rFonts w:hint="eastAsia" w:ascii="楷体" w:hAnsi="楷体" w:eastAsia="楷体" w:cs="楷体"/>
          <w:b w:val="0"/>
          <w:bCs w:val="0"/>
          <w:sz w:val="24"/>
          <w:szCs w:val="24"/>
          <w:u w:val="none"/>
          <w:lang w:val="en-US" w:eastAsia="zh-CN"/>
        </w:rPr>
        <w:t>八、附件：</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1、《营业执照》复印件</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2、《金融许可证》复印件</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3、承销资质证明文件</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4、发行利率承诺函</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both"/>
        <w:textAlignment w:val="auto"/>
        <w:outlineLvl w:val="9"/>
        <w:rPr>
          <w:rFonts w:hint="default"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5、发行进度承诺函</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6、法人代表身份证明及</w:t>
      </w:r>
      <w:r>
        <w:rPr>
          <w:rFonts w:hint="eastAsia" w:ascii="楷体" w:hAnsi="楷体" w:eastAsia="楷体" w:cs="楷体"/>
          <w:spacing w:val="0"/>
          <w:sz w:val="24"/>
          <w:u w:val="none"/>
        </w:rPr>
        <w:t>法定代表人身份证复印件</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both"/>
        <w:textAlignment w:val="auto"/>
        <w:outlineLvl w:val="9"/>
        <w:rPr>
          <w:rFonts w:hint="default"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7、授权委托书</w:t>
      </w:r>
      <w:r>
        <w:rPr>
          <w:rFonts w:hint="eastAsia" w:ascii="楷体" w:hAnsi="楷体" w:eastAsia="楷体" w:cs="楷体"/>
          <w:spacing w:val="0"/>
          <w:sz w:val="24"/>
          <w:u w:val="none"/>
          <w:lang w:eastAsia="zh-CN"/>
        </w:rPr>
        <w:t>及</w:t>
      </w:r>
      <w:r>
        <w:rPr>
          <w:rFonts w:hint="eastAsia" w:ascii="楷体" w:hAnsi="楷体" w:eastAsia="楷体" w:cs="楷体"/>
          <w:spacing w:val="0"/>
          <w:sz w:val="24"/>
          <w:u w:val="none"/>
        </w:rPr>
        <w:t>授权代表身份证复印件</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8、参评意向书</w:t>
      </w:r>
    </w:p>
    <w:p>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both"/>
        <w:textAlignment w:val="auto"/>
        <w:outlineLvl w:val="9"/>
        <w:rPr>
          <w:rFonts w:hint="eastAsia" w:ascii="楷体" w:hAnsi="楷体" w:eastAsia="楷体" w:cs="楷体"/>
          <w:sz w:val="24"/>
          <w:szCs w:val="24"/>
          <w:u w:val="none"/>
          <w:lang w:val="en-US" w:eastAsia="zh-CN"/>
        </w:rPr>
      </w:pPr>
      <w:r>
        <w:rPr>
          <w:rFonts w:hint="eastAsia" w:ascii="楷体" w:hAnsi="楷体" w:eastAsia="楷体" w:cs="楷体"/>
          <w:sz w:val="24"/>
          <w:szCs w:val="24"/>
          <w:u w:val="none"/>
          <w:lang w:val="en-US" w:eastAsia="zh-CN"/>
        </w:rPr>
        <w:t>说明：</w:t>
      </w:r>
      <w:r>
        <w:rPr>
          <w:rFonts w:hint="eastAsia" w:ascii="楷体" w:hAnsi="楷体" w:eastAsia="楷体" w:cs="楷体"/>
          <w:sz w:val="24"/>
          <w:szCs w:val="24"/>
          <w:u w:val="single"/>
          <w:lang w:val="en-US" w:eastAsia="zh-CN"/>
        </w:rPr>
        <w:t>以上材料，后附格式的以参考格式为准</w:t>
      </w:r>
      <w:r>
        <w:rPr>
          <w:rFonts w:hint="eastAsia" w:ascii="楷体" w:hAnsi="楷体" w:eastAsia="楷体" w:cs="楷体"/>
          <w:sz w:val="24"/>
          <w:szCs w:val="24"/>
          <w:highlight w:val="none"/>
          <w:u w:val="none"/>
          <w:lang w:val="en-US" w:eastAsia="zh-CN"/>
        </w:rPr>
        <w:t>。</w:t>
      </w:r>
    </w:p>
    <w:p>
      <w:pPr>
        <w:rPr>
          <w:rFonts w:hint="eastAsia"/>
          <w:b/>
          <w:bCs/>
          <w:sz w:val="28"/>
          <w:szCs w:val="28"/>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spacing w:line="360" w:lineRule="auto"/>
        <w:jc w:val="center"/>
        <w:rPr>
          <w:rFonts w:hint="eastAsia" w:ascii="楷体" w:hAnsi="楷体" w:eastAsia="楷体"/>
          <w:b/>
          <w:sz w:val="24"/>
        </w:rPr>
      </w:pPr>
      <w:r>
        <w:rPr>
          <w:rFonts w:hint="eastAsia" w:ascii="楷体" w:hAnsi="楷体" w:eastAsia="楷体"/>
          <w:spacing w:val="20"/>
          <w:sz w:val="24"/>
        </w:rPr>
        <w:t xml:space="preserve">                      </w:t>
      </w: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spacing w:val="20"/>
          <w:sz w:val="44"/>
          <w:szCs w:val="44"/>
        </w:rPr>
      </w:pPr>
      <w:r>
        <w:rPr>
          <w:rFonts w:hint="eastAsia" w:ascii="楷体" w:hAnsi="楷体" w:eastAsia="楷体"/>
          <w:b/>
          <w:sz w:val="24"/>
        </w:rPr>
        <w:t>附件</w:t>
      </w:r>
      <w:r>
        <w:rPr>
          <w:rFonts w:hint="eastAsia" w:ascii="楷体" w:hAnsi="楷体" w:eastAsia="楷体"/>
          <w:b/>
          <w:sz w:val="24"/>
          <w:lang w:eastAsia="zh-CN"/>
        </w:rPr>
        <w:t>一</w:t>
      </w:r>
      <w:r>
        <w:rPr>
          <w:rFonts w:hint="eastAsia" w:ascii="楷体" w:hAnsi="楷体" w:eastAsia="楷体"/>
          <w:b/>
          <w:sz w:val="24"/>
        </w:rPr>
        <w:t>：利率承诺函</w:t>
      </w:r>
    </w:p>
    <w:p>
      <w:pPr>
        <w:spacing w:before="312" w:beforeLines="100" w:after="312" w:afterLines="100" w:line="360" w:lineRule="auto"/>
        <w:jc w:val="center"/>
        <w:rPr>
          <w:rFonts w:hint="eastAsia" w:ascii="楷体" w:hAnsi="楷体" w:eastAsia="楷体"/>
          <w:b/>
          <w:sz w:val="36"/>
          <w:szCs w:val="36"/>
        </w:rPr>
      </w:pPr>
      <w:r>
        <w:rPr>
          <w:rFonts w:hint="eastAsia" w:ascii="楷体" w:hAnsi="楷体" w:eastAsia="楷体"/>
          <w:b/>
          <w:sz w:val="36"/>
          <w:szCs w:val="36"/>
        </w:rPr>
        <w:t>发行利率承诺函</w:t>
      </w:r>
    </w:p>
    <w:p>
      <w:pPr>
        <w:spacing w:line="360" w:lineRule="auto"/>
        <w:ind w:firstLine="4340" w:firstLineChars="1550"/>
        <w:rPr>
          <w:rFonts w:hint="eastAsia" w:ascii="楷体" w:hAnsi="楷体" w:eastAsia="楷体"/>
          <w:spacing w:val="20"/>
          <w:sz w:val="24"/>
        </w:rPr>
      </w:pPr>
    </w:p>
    <w:p>
      <w:pPr>
        <w:spacing w:line="360" w:lineRule="auto"/>
        <w:rPr>
          <w:rFonts w:hint="eastAsia" w:ascii="楷体" w:hAnsi="楷体" w:eastAsia="楷体"/>
          <w:spacing w:val="20"/>
          <w:sz w:val="24"/>
        </w:rPr>
      </w:pPr>
      <w:r>
        <w:rPr>
          <w:rFonts w:hint="eastAsia" w:ascii="楷体" w:hAnsi="楷体" w:eastAsia="楷体"/>
          <w:spacing w:val="20"/>
          <w:sz w:val="24"/>
          <w:lang w:eastAsia="zh-CN"/>
        </w:rPr>
        <w:t>安徽安诚金融控股集团有限公司</w:t>
      </w:r>
      <w:r>
        <w:rPr>
          <w:rFonts w:hint="eastAsia" w:ascii="楷体" w:hAnsi="楷体" w:eastAsia="楷体"/>
          <w:spacing w:val="20"/>
          <w:sz w:val="24"/>
        </w:rPr>
        <w:t>：</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我公司经研究同意参与贵公司开展的</w:t>
      </w:r>
      <w:r>
        <w:rPr>
          <w:rFonts w:hint="eastAsia" w:ascii="楷体" w:hAnsi="楷体" w:eastAsia="楷体"/>
          <w:spacing w:val="20"/>
          <w:sz w:val="24"/>
          <w:lang w:eastAsia="zh-CN"/>
        </w:rPr>
        <w:t>安徽安诚金融控股集团有限公司</w:t>
      </w:r>
      <w:r>
        <w:rPr>
          <w:rFonts w:hint="eastAsia" w:ascii="楷体" w:hAnsi="楷体" w:eastAsia="楷体"/>
          <w:spacing w:val="20"/>
          <w:sz w:val="24"/>
        </w:rPr>
        <w:t>2020年非公开发行公司债券主承销商评选工作，如成功取得</w:t>
      </w:r>
      <w:r>
        <w:rPr>
          <w:rFonts w:hint="eastAsia" w:ascii="楷体" w:hAnsi="楷体" w:eastAsia="楷体"/>
          <w:spacing w:val="20"/>
          <w:sz w:val="24"/>
          <w:lang w:val="en-US" w:eastAsia="zh-CN"/>
        </w:rPr>
        <w:t>安诚金融</w:t>
      </w:r>
      <w:r>
        <w:rPr>
          <w:rFonts w:hint="eastAsia" w:ascii="楷体" w:hAnsi="楷体" w:eastAsia="楷体"/>
          <w:spacing w:val="20"/>
          <w:sz w:val="24"/>
        </w:rPr>
        <w:t>拟发行</w:t>
      </w:r>
      <w:r>
        <w:rPr>
          <w:rFonts w:hint="eastAsia" w:ascii="楷体" w:hAnsi="楷体" w:eastAsia="楷体"/>
          <w:spacing w:val="20"/>
          <w:sz w:val="24"/>
          <w:lang w:val="en-US" w:eastAsia="zh-CN"/>
        </w:rPr>
        <w:t>公司债</w:t>
      </w:r>
      <w:r>
        <w:rPr>
          <w:rFonts w:hint="eastAsia" w:ascii="楷体" w:hAnsi="楷体" w:eastAsia="楷体"/>
          <w:spacing w:val="20"/>
          <w:sz w:val="24"/>
        </w:rPr>
        <w:t>的主承销商资格，我公司承诺，</w:t>
      </w:r>
      <w:r>
        <w:rPr>
          <w:rFonts w:hint="eastAsia" w:ascii="楷体" w:hAnsi="楷体" w:eastAsia="楷体"/>
          <w:spacing w:val="20"/>
          <w:sz w:val="24"/>
          <w:lang w:eastAsia="zh-CN"/>
        </w:rPr>
        <w:t>公司债</w:t>
      </w:r>
      <w:r>
        <w:rPr>
          <w:rFonts w:hint="eastAsia" w:ascii="楷体" w:hAnsi="楷体" w:eastAsia="楷体"/>
          <w:spacing w:val="20"/>
          <w:sz w:val="24"/>
        </w:rPr>
        <w:t>发行利率发行利率不高于</w:t>
      </w:r>
      <w:r>
        <w:rPr>
          <w:rFonts w:hint="eastAsia" w:ascii="楷体" w:hAnsi="楷体" w:eastAsia="楷体"/>
          <w:spacing w:val="20"/>
          <w:sz w:val="24"/>
          <w:lang w:val="en-US" w:eastAsia="zh-CN"/>
        </w:rPr>
        <w:t>公司债</w:t>
      </w:r>
      <w:r>
        <w:rPr>
          <w:rFonts w:hint="eastAsia" w:ascii="楷体" w:hAnsi="楷体" w:eastAsia="楷体"/>
          <w:spacing w:val="20"/>
          <w:sz w:val="24"/>
        </w:rPr>
        <w:t>发行日前（包含发行日）一个月内</w:t>
      </w:r>
      <w:r>
        <w:rPr>
          <w:rFonts w:hint="eastAsia" w:ascii="楷体" w:hAnsi="楷体" w:eastAsia="楷体"/>
          <w:spacing w:val="20"/>
          <w:sz w:val="24"/>
          <w:lang w:eastAsia="zh-CN"/>
        </w:rPr>
        <w:t>、</w:t>
      </w:r>
      <w:r>
        <w:rPr>
          <w:rFonts w:hint="eastAsia" w:ascii="楷体" w:hAnsi="楷体" w:eastAsia="楷体"/>
          <w:spacing w:val="20"/>
          <w:sz w:val="24"/>
          <w:lang w:val="en-US" w:eastAsia="zh-CN"/>
        </w:rPr>
        <w:t>同行业</w:t>
      </w:r>
      <w:r>
        <w:rPr>
          <w:rFonts w:hint="eastAsia" w:ascii="楷体" w:hAnsi="楷体" w:eastAsia="楷体"/>
          <w:spacing w:val="20"/>
          <w:sz w:val="24"/>
        </w:rPr>
        <w:t>同级别同期限相应的</w:t>
      </w:r>
      <w:r>
        <w:rPr>
          <w:rFonts w:hint="eastAsia" w:ascii="楷体" w:hAnsi="楷体" w:eastAsia="楷体"/>
          <w:spacing w:val="20"/>
          <w:sz w:val="24"/>
          <w:lang w:val="en-US" w:eastAsia="zh-CN"/>
        </w:rPr>
        <w:t>非公开发行公司债</w:t>
      </w:r>
      <w:r>
        <w:rPr>
          <w:rFonts w:hint="eastAsia" w:ascii="楷体" w:hAnsi="楷体" w:eastAsia="楷体"/>
          <w:spacing w:val="20"/>
          <w:sz w:val="24"/>
        </w:rPr>
        <w:t>的平均利率。</w:t>
      </w: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特此承诺。</w:t>
      </w:r>
    </w:p>
    <w:p>
      <w:pPr>
        <w:spacing w:line="360" w:lineRule="auto"/>
        <w:ind w:firstLine="560" w:firstLineChars="200"/>
        <w:rPr>
          <w:rFonts w:hint="eastAsia" w:ascii="楷体" w:hAnsi="楷体" w:eastAsia="楷体"/>
          <w:spacing w:val="20"/>
          <w:sz w:val="24"/>
        </w:rPr>
      </w:pPr>
    </w:p>
    <w:p>
      <w:pPr>
        <w:spacing w:line="360" w:lineRule="auto"/>
        <w:rPr>
          <w:rFonts w:hint="eastAsia" w:ascii="楷体" w:hAnsi="楷体" w:eastAsia="楷体"/>
          <w:spacing w:val="20"/>
          <w:sz w:val="24"/>
        </w:rPr>
      </w:pPr>
      <w:r>
        <w:rPr>
          <w:rFonts w:hint="eastAsia" w:ascii="楷体" w:hAnsi="楷体" w:eastAsia="楷体"/>
          <w:spacing w:val="20"/>
          <w:sz w:val="24"/>
        </w:rPr>
        <w:t xml:space="preserve">                   </w:t>
      </w:r>
    </w:p>
    <w:p>
      <w:pPr>
        <w:spacing w:line="360" w:lineRule="auto"/>
        <w:ind w:firstLine="560" w:firstLineChars="200"/>
        <w:rPr>
          <w:rFonts w:hint="eastAsia" w:ascii="楷体" w:hAnsi="楷体" w:eastAsia="楷体"/>
          <w:spacing w:val="20"/>
          <w:sz w:val="24"/>
          <w:u w:val="none"/>
          <w:lang w:eastAsia="zh-CN"/>
        </w:rPr>
      </w:pPr>
      <w:r>
        <w:rPr>
          <w:rFonts w:hint="eastAsia" w:ascii="楷体" w:hAnsi="楷体" w:eastAsia="楷体"/>
          <w:spacing w:val="20"/>
          <w:sz w:val="24"/>
        </w:rPr>
        <w:t>授权代表签字</w:t>
      </w:r>
      <w:r>
        <w:rPr>
          <w:rFonts w:hint="eastAsia" w:ascii="楷体" w:hAnsi="楷体" w:eastAsia="楷体"/>
          <w:spacing w:val="20"/>
          <w:sz w:val="24"/>
          <w:u w:val="none"/>
          <w:lang w:eastAsia="zh-CN"/>
        </w:rPr>
        <w:t>：</w:t>
      </w:r>
    </w:p>
    <w:p>
      <w:pPr>
        <w:spacing w:line="360" w:lineRule="auto"/>
        <w:rPr>
          <w:rFonts w:hint="eastAsia" w:ascii="楷体" w:hAnsi="楷体" w:eastAsia="楷体"/>
          <w:spacing w:val="20"/>
          <w:sz w:val="24"/>
          <w:u w:val="none"/>
        </w:rPr>
      </w:pPr>
      <w:r>
        <w:rPr>
          <w:rFonts w:hint="eastAsia" w:ascii="楷体" w:hAnsi="楷体" w:eastAsia="楷体"/>
          <w:spacing w:val="20"/>
          <w:sz w:val="24"/>
          <w:u w:val="none"/>
        </w:rPr>
        <w:t xml:space="preserve"> </w:t>
      </w:r>
    </w:p>
    <w:p>
      <w:pPr>
        <w:spacing w:line="360" w:lineRule="auto"/>
        <w:ind w:firstLine="560" w:firstLineChars="200"/>
        <w:jc w:val="right"/>
        <w:rPr>
          <w:rFonts w:hint="eastAsia" w:ascii="楷体" w:hAnsi="楷体" w:eastAsia="楷体"/>
          <w:spacing w:val="20"/>
          <w:sz w:val="24"/>
        </w:rPr>
      </w:pPr>
      <w:r>
        <w:rPr>
          <w:rFonts w:hint="eastAsia" w:ascii="楷体" w:hAnsi="楷体" w:eastAsia="楷体"/>
          <w:spacing w:val="20"/>
          <w:sz w:val="24"/>
        </w:rPr>
        <w:t xml:space="preserve">                                   XX公司（盖章）                               </w:t>
      </w:r>
      <w:r>
        <w:rPr>
          <w:rFonts w:hint="eastAsia" w:ascii="楷体" w:hAnsi="楷体" w:eastAsia="楷体"/>
          <w:spacing w:val="20"/>
          <w:sz w:val="24"/>
          <w:lang w:eastAsia="zh-CN"/>
        </w:rPr>
        <w:t>20</w:t>
      </w:r>
      <w:r>
        <w:rPr>
          <w:rFonts w:hint="eastAsia" w:ascii="楷体" w:hAnsi="楷体" w:eastAsia="楷体"/>
          <w:spacing w:val="20"/>
          <w:sz w:val="24"/>
          <w:lang w:val="en-US" w:eastAsia="zh-CN"/>
        </w:rPr>
        <w:t>20</w:t>
      </w:r>
      <w:r>
        <w:rPr>
          <w:rFonts w:hint="eastAsia" w:ascii="楷体" w:hAnsi="楷体" w:eastAsia="楷体"/>
          <w:spacing w:val="20"/>
          <w:sz w:val="24"/>
          <w:lang w:eastAsia="zh-CN"/>
        </w:rPr>
        <w:t>年</w:t>
      </w:r>
      <w:r>
        <w:rPr>
          <w:rFonts w:hint="eastAsia" w:ascii="楷体" w:hAnsi="楷体" w:eastAsia="楷体"/>
          <w:spacing w:val="20"/>
          <w:sz w:val="24"/>
        </w:rPr>
        <w:t xml:space="preserve"> 月  日</w:t>
      </w: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sectPr>
          <w:footerReference r:id="rId7" w:type="firs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line="360" w:lineRule="auto"/>
        <w:rPr>
          <w:rFonts w:hint="eastAsia" w:ascii="楷体" w:hAnsi="楷体" w:eastAsia="楷体"/>
          <w:b/>
          <w:sz w:val="24"/>
        </w:rPr>
      </w:pPr>
    </w:p>
    <w:p>
      <w:pPr>
        <w:spacing w:line="360" w:lineRule="auto"/>
        <w:rPr>
          <w:rFonts w:hint="eastAsia" w:ascii="楷体" w:hAnsi="楷体" w:eastAsia="楷体"/>
          <w:spacing w:val="20"/>
          <w:sz w:val="44"/>
          <w:szCs w:val="44"/>
        </w:rPr>
      </w:pPr>
      <w:r>
        <w:rPr>
          <w:rFonts w:hint="eastAsia" w:ascii="楷体" w:hAnsi="楷体" w:eastAsia="楷体"/>
          <w:b/>
          <w:sz w:val="24"/>
        </w:rPr>
        <w:t>附件</w:t>
      </w:r>
      <w:r>
        <w:rPr>
          <w:rFonts w:hint="eastAsia" w:ascii="楷体" w:hAnsi="楷体" w:eastAsia="楷体"/>
          <w:b/>
          <w:sz w:val="24"/>
          <w:lang w:val="en-US" w:eastAsia="zh-CN"/>
        </w:rPr>
        <w:t>二</w:t>
      </w:r>
      <w:r>
        <w:rPr>
          <w:rFonts w:hint="eastAsia" w:ascii="楷体" w:hAnsi="楷体" w:eastAsia="楷体"/>
          <w:b/>
          <w:sz w:val="24"/>
        </w:rPr>
        <w:t>：</w:t>
      </w:r>
      <w:r>
        <w:rPr>
          <w:rFonts w:hint="eastAsia" w:ascii="楷体" w:hAnsi="楷体" w:eastAsia="楷体"/>
          <w:b/>
          <w:sz w:val="24"/>
          <w:lang w:val="en-US" w:eastAsia="zh-CN"/>
        </w:rPr>
        <w:t>发行进度</w:t>
      </w:r>
      <w:r>
        <w:rPr>
          <w:rFonts w:hint="eastAsia" w:ascii="楷体" w:hAnsi="楷体" w:eastAsia="楷体"/>
          <w:b/>
          <w:sz w:val="24"/>
        </w:rPr>
        <w:t>承诺函</w:t>
      </w:r>
    </w:p>
    <w:p>
      <w:pPr>
        <w:spacing w:before="312" w:beforeLines="100" w:after="312" w:afterLines="100" w:line="360" w:lineRule="auto"/>
        <w:jc w:val="center"/>
        <w:rPr>
          <w:rFonts w:hint="eastAsia" w:ascii="楷体" w:hAnsi="楷体" w:eastAsia="楷体"/>
          <w:b/>
          <w:sz w:val="36"/>
          <w:szCs w:val="36"/>
        </w:rPr>
      </w:pPr>
      <w:r>
        <w:rPr>
          <w:rFonts w:hint="eastAsia" w:ascii="楷体" w:hAnsi="楷体" w:eastAsia="楷体"/>
          <w:b/>
          <w:sz w:val="36"/>
          <w:szCs w:val="36"/>
        </w:rPr>
        <w:t>发行</w:t>
      </w:r>
      <w:r>
        <w:rPr>
          <w:rFonts w:hint="eastAsia" w:ascii="楷体" w:hAnsi="楷体" w:eastAsia="楷体"/>
          <w:b/>
          <w:sz w:val="36"/>
          <w:szCs w:val="36"/>
          <w:lang w:val="en-US" w:eastAsia="zh-CN"/>
        </w:rPr>
        <w:t>进度</w:t>
      </w:r>
      <w:r>
        <w:rPr>
          <w:rFonts w:hint="eastAsia" w:ascii="楷体" w:hAnsi="楷体" w:eastAsia="楷体"/>
          <w:b/>
          <w:sz w:val="36"/>
          <w:szCs w:val="36"/>
        </w:rPr>
        <w:t>承诺函</w:t>
      </w:r>
    </w:p>
    <w:p>
      <w:pPr>
        <w:spacing w:line="360" w:lineRule="auto"/>
        <w:ind w:firstLine="4340" w:firstLineChars="1550"/>
        <w:rPr>
          <w:rFonts w:hint="eastAsia" w:ascii="楷体" w:hAnsi="楷体" w:eastAsia="楷体"/>
          <w:spacing w:val="20"/>
          <w:sz w:val="24"/>
        </w:rPr>
      </w:pPr>
    </w:p>
    <w:p>
      <w:pPr>
        <w:spacing w:line="360" w:lineRule="auto"/>
        <w:rPr>
          <w:rFonts w:hint="eastAsia" w:ascii="楷体" w:hAnsi="楷体" w:eastAsia="楷体"/>
          <w:spacing w:val="20"/>
          <w:sz w:val="24"/>
        </w:rPr>
      </w:pPr>
      <w:r>
        <w:rPr>
          <w:rFonts w:hint="eastAsia" w:ascii="楷体" w:hAnsi="楷体" w:eastAsia="楷体"/>
          <w:spacing w:val="20"/>
          <w:sz w:val="24"/>
          <w:lang w:eastAsia="zh-CN"/>
        </w:rPr>
        <w:t>安徽安诚金融控股集团有限公司</w:t>
      </w:r>
      <w:r>
        <w:rPr>
          <w:rFonts w:hint="eastAsia" w:ascii="楷体" w:hAnsi="楷体" w:eastAsia="楷体"/>
          <w:spacing w:val="20"/>
          <w:sz w:val="24"/>
        </w:rPr>
        <w:t>：</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我公司经研究同意参与贵公司开展的</w:t>
      </w:r>
      <w:r>
        <w:rPr>
          <w:rFonts w:hint="eastAsia" w:ascii="楷体" w:hAnsi="楷体" w:eastAsia="楷体"/>
          <w:spacing w:val="20"/>
          <w:sz w:val="24"/>
          <w:lang w:eastAsia="zh-CN"/>
        </w:rPr>
        <w:t>安徽安诚金融控股集团有限公司</w:t>
      </w:r>
      <w:r>
        <w:rPr>
          <w:rFonts w:hint="eastAsia" w:ascii="楷体" w:hAnsi="楷体" w:eastAsia="楷体"/>
          <w:spacing w:val="20"/>
          <w:sz w:val="24"/>
        </w:rPr>
        <w:t>2020年非公开发行公司债券主承销商评选工作，如成功取得</w:t>
      </w:r>
      <w:r>
        <w:rPr>
          <w:rFonts w:hint="eastAsia" w:ascii="楷体" w:hAnsi="楷体" w:eastAsia="楷体"/>
          <w:spacing w:val="20"/>
          <w:sz w:val="24"/>
          <w:lang w:val="en-US" w:eastAsia="zh-CN"/>
        </w:rPr>
        <w:t>安诚金融</w:t>
      </w:r>
      <w:r>
        <w:rPr>
          <w:rFonts w:hint="eastAsia" w:ascii="楷体" w:hAnsi="楷体" w:eastAsia="楷体"/>
          <w:spacing w:val="20"/>
          <w:sz w:val="24"/>
        </w:rPr>
        <w:t>拟发行</w:t>
      </w:r>
      <w:r>
        <w:rPr>
          <w:rFonts w:hint="eastAsia" w:ascii="楷体" w:hAnsi="楷体" w:eastAsia="楷体"/>
          <w:spacing w:val="20"/>
          <w:sz w:val="24"/>
          <w:lang w:val="en-US" w:eastAsia="zh-CN"/>
        </w:rPr>
        <w:t>公司债</w:t>
      </w:r>
      <w:r>
        <w:rPr>
          <w:rFonts w:hint="eastAsia" w:ascii="楷体" w:hAnsi="楷体" w:eastAsia="楷体"/>
          <w:spacing w:val="20"/>
          <w:sz w:val="24"/>
        </w:rPr>
        <w:t>的主承销商资格，我公司承诺，</w:t>
      </w:r>
      <w:r>
        <w:rPr>
          <w:rFonts w:hint="eastAsia" w:ascii="楷体" w:hAnsi="楷体" w:eastAsia="楷体"/>
          <w:spacing w:val="20"/>
          <w:sz w:val="24"/>
          <w:lang w:val="en-US" w:eastAsia="zh-CN"/>
        </w:rPr>
        <w:t>自收到贵公司中标通知书之日起</w:t>
      </w:r>
      <w:r>
        <w:rPr>
          <w:rFonts w:hint="eastAsia" w:ascii="楷体" w:hAnsi="楷体" w:eastAsia="楷体"/>
          <w:spacing w:val="20"/>
          <w:sz w:val="24"/>
          <w:u w:val="single"/>
          <w:lang w:val="en-US" w:eastAsia="zh-CN"/>
        </w:rPr>
        <w:t xml:space="preserve">  </w:t>
      </w:r>
      <w:r>
        <w:rPr>
          <w:rFonts w:hint="eastAsia" w:ascii="楷体" w:hAnsi="楷体" w:eastAsia="楷体"/>
          <w:spacing w:val="20"/>
          <w:sz w:val="24"/>
          <w:lang w:val="en-US" w:eastAsia="zh-CN"/>
        </w:rPr>
        <w:t>工作日内完成本期债券内核流程并取得正式批复，否则我司同意放弃本期债券主承销商资格。</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特此承诺。</w:t>
      </w:r>
    </w:p>
    <w:p>
      <w:pPr>
        <w:spacing w:line="360" w:lineRule="auto"/>
        <w:ind w:firstLine="560" w:firstLineChars="200"/>
        <w:rPr>
          <w:rFonts w:hint="eastAsia" w:ascii="楷体" w:hAnsi="楷体" w:eastAsia="楷体"/>
          <w:spacing w:val="20"/>
          <w:sz w:val="24"/>
        </w:rPr>
      </w:pPr>
    </w:p>
    <w:p>
      <w:pPr>
        <w:spacing w:line="360" w:lineRule="auto"/>
        <w:rPr>
          <w:rFonts w:hint="eastAsia" w:ascii="楷体" w:hAnsi="楷体" w:eastAsia="楷体"/>
          <w:spacing w:val="20"/>
          <w:sz w:val="24"/>
        </w:rPr>
      </w:pPr>
      <w:r>
        <w:rPr>
          <w:rFonts w:hint="eastAsia" w:ascii="楷体" w:hAnsi="楷体" w:eastAsia="楷体"/>
          <w:spacing w:val="20"/>
          <w:sz w:val="24"/>
        </w:rPr>
        <w:t xml:space="preserve">                   </w:t>
      </w:r>
    </w:p>
    <w:p>
      <w:pPr>
        <w:spacing w:line="360" w:lineRule="auto"/>
        <w:ind w:firstLine="560" w:firstLineChars="200"/>
        <w:rPr>
          <w:rFonts w:hint="eastAsia" w:ascii="楷体" w:hAnsi="楷体" w:eastAsia="楷体"/>
          <w:spacing w:val="20"/>
          <w:sz w:val="24"/>
          <w:u w:val="none"/>
          <w:lang w:eastAsia="zh-CN"/>
        </w:rPr>
      </w:pPr>
      <w:r>
        <w:rPr>
          <w:rFonts w:hint="eastAsia" w:ascii="楷体" w:hAnsi="楷体" w:eastAsia="楷体"/>
          <w:spacing w:val="20"/>
          <w:sz w:val="24"/>
        </w:rPr>
        <w:t>授权代表签字</w:t>
      </w:r>
      <w:r>
        <w:rPr>
          <w:rFonts w:hint="eastAsia" w:ascii="楷体" w:hAnsi="楷体" w:eastAsia="楷体"/>
          <w:spacing w:val="20"/>
          <w:sz w:val="24"/>
          <w:u w:val="none"/>
          <w:lang w:eastAsia="zh-CN"/>
        </w:rPr>
        <w:t>：</w:t>
      </w:r>
    </w:p>
    <w:p>
      <w:pPr>
        <w:spacing w:line="360" w:lineRule="auto"/>
        <w:rPr>
          <w:rFonts w:hint="eastAsia" w:ascii="楷体" w:hAnsi="楷体" w:eastAsia="楷体"/>
          <w:spacing w:val="20"/>
          <w:sz w:val="24"/>
          <w:u w:val="none"/>
        </w:rPr>
      </w:pPr>
      <w:r>
        <w:rPr>
          <w:rFonts w:hint="eastAsia" w:ascii="楷体" w:hAnsi="楷体" w:eastAsia="楷体"/>
          <w:spacing w:val="20"/>
          <w:sz w:val="24"/>
          <w:u w:val="none"/>
        </w:rPr>
        <w:t xml:space="preserve"> </w:t>
      </w:r>
    </w:p>
    <w:p>
      <w:pPr>
        <w:ind w:left="6160" w:hanging="6160" w:hangingChars="2200"/>
      </w:pPr>
      <w:r>
        <w:rPr>
          <w:rFonts w:hint="eastAsia" w:ascii="楷体" w:hAnsi="楷体" w:eastAsia="楷体"/>
          <w:spacing w:val="20"/>
          <w:sz w:val="24"/>
        </w:rPr>
        <w:t xml:space="preserve">                                   XX公司（盖章）                               </w:t>
      </w:r>
      <w:r>
        <w:rPr>
          <w:rFonts w:hint="eastAsia" w:ascii="楷体" w:hAnsi="楷体" w:eastAsia="楷体"/>
          <w:spacing w:val="20"/>
          <w:sz w:val="24"/>
          <w:lang w:eastAsia="zh-CN"/>
        </w:rPr>
        <w:t>20</w:t>
      </w:r>
      <w:r>
        <w:rPr>
          <w:rFonts w:hint="eastAsia" w:ascii="楷体" w:hAnsi="楷体" w:eastAsia="楷体"/>
          <w:spacing w:val="20"/>
          <w:sz w:val="24"/>
          <w:lang w:val="en-US" w:eastAsia="zh-CN"/>
        </w:rPr>
        <w:t>20</w:t>
      </w:r>
      <w:r>
        <w:rPr>
          <w:rFonts w:hint="eastAsia" w:ascii="楷体" w:hAnsi="楷体" w:eastAsia="楷体"/>
          <w:spacing w:val="20"/>
          <w:sz w:val="24"/>
          <w:lang w:eastAsia="zh-CN"/>
        </w:rPr>
        <w:t>年</w:t>
      </w:r>
      <w:r>
        <w:rPr>
          <w:rFonts w:hint="eastAsia" w:ascii="楷体" w:hAnsi="楷体" w:eastAsia="楷体"/>
          <w:spacing w:val="20"/>
          <w:sz w:val="24"/>
        </w:rPr>
        <w:t xml:space="preserve"> 月  日</w:t>
      </w:r>
    </w:p>
    <w:p>
      <w:pPr>
        <w:spacing w:line="360" w:lineRule="auto"/>
        <w:rPr>
          <w:rFonts w:hint="eastAsia" w:ascii="楷体" w:hAnsi="楷体" w:eastAsia="楷体"/>
          <w:b/>
          <w:sz w:val="24"/>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r>
        <w:rPr>
          <w:rFonts w:hint="eastAsia" w:ascii="楷体" w:hAnsi="楷体" w:eastAsia="楷体"/>
          <w:b/>
          <w:sz w:val="24"/>
        </w:rPr>
        <w:t>附件</w:t>
      </w:r>
      <w:r>
        <w:rPr>
          <w:rFonts w:hint="eastAsia" w:ascii="楷体" w:hAnsi="楷体" w:eastAsia="楷体"/>
          <w:b/>
          <w:sz w:val="24"/>
          <w:lang w:val="en-US" w:eastAsia="zh-CN"/>
        </w:rPr>
        <w:t>三</w:t>
      </w:r>
      <w:r>
        <w:rPr>
          <w:rFonts w:hint="eastAsia" w:ascii="楷体" w:hAnsi="楷体" w:eastAsia="楷体"/>
          <w:b/>
          <w:sz w:val="24"/>
        </w:rPr>
        <w:t>：法人代表身份证明</w:t>
      </w:r>
    </w:p>
    <w:p>
      <w:pPr>
        <w:spacing w:line="360" w:lineRule="auto"/>
        <w:jc w:val="center"/>
        <w:rPr>
          <w:rFonts w:ascii="楷体" w:hAnsi="楷体" w:eastAsia="楷体"/>
          <w:b/>
          <w:sz w:val="36"/>
          <w:szCs w:val="36"/>
        </w:rPr>
      </w:pPr>
    </w:p>
    <w:p>
      <w:pPr>
        <w:spacing w:line="360" w:lineRule="auto"/>
        <w:jc w:val="center"/>
        <w:rPr>
          <w:rFonts w:ascii="楷体" w:hAnsi="楷体" w:eastAsia="楷体"/>
          <w:b/>
          <w:sz w:val="36"/>
          <w:szCs w:val="36"/>
        </w:rPr>
      </w:pPr>
      <w:r>
        <w:rPr>
          <w:rFonts w:ascii="楷体" w:hAnsi="楷体" w:eastAsia="楷体"/>
          <w:b/>
          <w:sz w:val="36"/>
          <w:szCs w:val="36"/>
        </w:rPr>
        <w:t>法定代表人身份证明</w:t>
      </w:r>
    </w:p>
    <w:p>
      <w:pPr>
        <w:wordWrap w:val="0"/>
        <w:spacing w:line="520" w:lineRule="exact"/>
        <w:rPr>
          <w:rFonts w:eastAsia="仿宋_GB2312"/>
          <w:sz w:val="32"/>
          <w:szCs w:val="32"/>
        </w:rPr>
      </w:pPr>
    </w:p>
    <w:p>
      <w:pPr>
        <w:spacing w:line="360" w:lineRule="auto"/>
        <w:ind w:firstLine="560" w:firstLineChars="200"/>
        <w:rPr>
          <w:rFonts w:ascii="楷体" w:hAnsi="楷体" w:eastAsia="楷体"/>
          <w:spacing w:val="20"/>
          <w:sz w:val="24"/>
        </w:rPr>
      </w:pPr>
      <w:r>
        <w:rPr>
          <w:rFonts w:ascii="楷体" w:hAnsi="楷体" w:eastAsia="楷体"/>
          <w:spacing w:val="20"/>
          <w:sz w:val="24"/>
        </w:rPr>
        <w:t>投标人名称：</w:t>
      </w:r>
      <w:r>
        <w:rPr>
          <w:rFonts w:ascii="楷体" w:hAnsi="楷体" w:eastAsia="楷体"/>
          <w:spacing w:val="20"/>
          <w:sz w:val="24"/>
          <w:u w:val="single"/>
        </w:rPr>
        <w:t xml:space="preserve">                  </w:t>
      </w:r>
      <w:r>
        <w:rPr>
          <w:rFonts w:ascii="楷体" w:hAnsi="楷体" w:eastAsia="楷体"/>
          <w:spacing w:val="20"/>
          <w:sz w:val="24"/>
        </w:rPr>
        <w:t xml:space="preserve">      </w:t>
      </w:r>
    </w:p>
    <w:p>
      <w:pPr>
        <w:spacing w:line="360" w:lineRule="auto"/>
        <w:ind w:firstLine="560" w:firstLineChars="200"/>
        <w:rPr>
          <w:rFonts w:ascii="楷体" w:hAnsi="楷体" w:eastAsia="楷体"/>
          <w:spacing w:val="20"/>
          <w:sz w:val="24"/>
          <w:u w:val="single"/>
        </w:rPr>
      </w:pPr>
      <w:r>
        <w:rPr>
          <w:rFonts w:ascii="楷体" w:hAnsi="楷体" w:eastAsia="楷体"/>
          <w:spacing w:val="20"/>
          <w:sz w:val="24"/>
        </w:rPr>
        <w:t>姓</w:t>
      </w:r>
      <w:r>
        <w:rPr>
          <w:rFonts w:hint="eastAsia" w:ascii="楷体" w:hAnsi="楷体" w:eastAsia="楷体"/>
          <w:spacing w:val="20"/>
          <w:sz w:val="24"/>
        </w:rPr>
        <w:t xml:space="preserve">     </w:t>
      </w:r>
      <w:r>
        <w:rPr>
          <w:rFonts w:ascii="楷体" w:hAnsi="楷体" w:eastAsia="楷体"/>
          <w:spacing w:val="20"/>
          <w:sz w:val="24"/>
        </w:rPr>
        <w:t>名：</w:t>
      </w:r>
      <w:r>
        <w:rPr>
          <w:rFonts w:ascii="楷体" w:hAnsi="楷体" w:eastAsia="楷体"/>
          <w:spacing w:val="20"/>
          <w:sz w:val="24"/>
          <w:u w:val="single"/>
        </w:rPr>
        <w:t xml:space="preserve">                </w:t>
      </w:r>
      <w:r>
        <w:rPr>
          <w:rFonts w:hint="eastAsia" w:ascii="楷体" w:hAnsi="楷体" w:eastAsia="楷体"/>
          <w:spacing w:val="20"/>
          <w:sz w:val="24"/>
          <w:u w:val="single"/>
        </w:rPr>
        <w:t xml:space="preserve">  </w:t>
      </w:r>
    </w:p>
    <w:p>
      <w:pPr>
        <w:spacing w:line="360" w:lineRule="auto"/>
        <w:ind w:firstLine="560" w:firstLineChars="200"/>
        <w:rPr>
          <w:rFonts w:ascii="楷体" w:hAnsi="楷体" w:eastAsia="楷体"/>
          <w:spacing w:val="20"/>
          <w:sz w:val="24"/>
          <w:u w:val="single"/>
        </w:rPr>
      </w:pPr>
      <w:r>
        <w:rPr>
          <w:rFonts w:ascii="楷体" w:hAnsi="楷体" w:eastAsia="楷体"/>
          <w:spacing w:val="20"/>
          <w:sz w:val="24"/>
        </w:rPr>
        <w:t>性</w:t>
      </w:r>
      <w:r>
        <w:rPr>
          <w:rFonts w:hint="eastAsia" w:ascii="楷体" w:hAnsi="楷体" w:eastAsia="楷体"/>
          <w:spacing w:val="20"/>
          <w:sz w:val="24"/>
        </w:rPr>
        <w:t xml:space="preserve">     </w:t>
      </w:r>
      <w:r>
        <w:rPr>
          <w:rFonts w:ascii="楷体" w:hAnsi="楷体" w:eastAsia="楷体"/>
          <w:spacing w:val="20"/>
          <w:sz w:val="24"/>
        </w:rPr>
        <w:t>别：</w:t>
      </w:r>
      <w:r>
        <w:rPr>
          <w:rFonts w:ascii="楷体" w:hAnsi="楷体" w:eastAsia="楷体"/>
          <w:spacing w:val="20"/>
          <w:sz w:val="24"/>
          <w:u w:val="single"/>
        </w:rPr>
        <w:t xml:space="preserve">                </w:t>
      </w:r>
      <w:r>
        <w:rPr>
          <w:rFonts w:hint="eastAsia" w:ascii="楷体" w:hAnsi="楷体" w:eastAsia="楷体"/>
          <w:spacing w:val="20"/>
          <w:sz w:val="24"/>
          <w:u w:val="single"/>
        </w:rPr>
        <w:t xml:space="preserve">  </w:t>
      </w:r>
    </w:p>
    <w:p>
      <w:pPr>
        <w:spacing w:line="360" w:lineRule="auto"/>
        <w:ind w:firstLine="560" w:firstLineChars="200"/>
        <w:rPr>
          <w:rFonts w:ascii="楷体" w:hAnsi="楷体" w:eastAsia="楷体"/>
          <w:spacing w:val="20"/>
          <w:sz w:val="24"/>
          <w:u w:val="single"/>
        </w:rPr>
      </w:pPr>
      <w:r>
        <w:rPr>
          <w:rFonts w:ascii="楷体" w:hAnsi="楷体" w:eastAsia="楷体"/>
          <w:spacing w:val="20"/>
          <w:sz w:val="24"/>
        </w:rPr>
        <w:t>年</w:t>
      </w:r>
      <w:r>
        <w:rPr>
          <w:rFonts w:hint="eastAsia" w:ascii="楷体" w:hAnsi="楷体" w:eastAsia="楷体"/>
          <w:spacing w:val="20"/>
          <w:sz w:val="24"/>
        </w:rPr>
        <w:t xml:space="preserve">     </w:t>
      </w:r>
      <w:r>
        <w:rPr>
          <w:rFonts w:ascii="楷体" w:hAnsi="楷体" w:eastAsia="楷体"/>
          <w:spacing w:val="20"/>
          <w:sz w:val="24"/>
        </w:rPr>
        <w:t>龄：</w:t>
      </w:r>
      <w:r>
        <w:rPr>
          <w:rFonts w:ascii="楷体" w:hAnsi="楷体" w:eastAsia="楷体"/>
          <w:spacing w:val="20"/>
          <w:sz w:val="24"/>
          <w:u w:val="single"/>
        </w:rPr>
        <w:t xml:space="preserve">               </w:t>
      </w:r>
      <w:r>
        <w:rPr>
          <w:rFonts w:hint="eastAsia" w:ascii="楷体" w:hAnsi="楷体" w:eastAsia="楷体"/>
          <w:spacing w:val="20"/>
          <w:sz w:val="24"/>
          <w:u w:val="single"/>
        </w:rPr>
        <w:t xml:space="preserve">  </w:t>
      </w:r>
      <w:r>
        <w:rPr>
          <w:rFonts w:ascii="楷体" w:hAnsi="楷体" w:eastAsia="楷体"/>
          <w:spacing w:val="20"/>
          <w:sz w:val="24"/>
          <w:u w:val="single"/>
        </w:rPr>
        <w:t xml:space="preserve"> </w:t>
      </w:r>
    </w:p>
    <w:p>
      <w:pPr>
        <w:spacing w:line="360" w:lineRule="auto"/>
        <w:ind w:firstLine="560" w:firstLineChars="200"/>
        <w:rPr>
          <w:rFonts w:hint="eastAsia" w:ascii="楷体" w:hAnsi="楷体" w:eastAsia="楷体"/>
          <w:spacing w:val="20"/>
          <w:sz w:val="24"/>
          <w:u w:val="single"/>
        </w:rPr>
      </w:pPr>
      <w:r>
        <w:rPr>
          <w:rFonts w:ascii="楷体" w:hAnsi="楷体" w:eastAsia="楷体"/>
          <w:spacing w:val="20"/>
          <w:sz w:val="24"/>
        </w:rPr>
        <w:t>职</w:t>
      </w:r>
      <w:r>
        <w:rPr>
          <w:rFonts w:hint="eastAsia" w:ascii="楷体" w:hAnsi="楷体" w:eastAsia="楷体"/>
          <w:spacing w:val="20"/>
          <w:sz w:val="24"/>
        </w:rPr>
        <w:t xml:space="preserve">     </w:t>
      </w:r>
      <w:r>
        <w:rPr>
          <w:rFonts w:ascii="楷体" w:hAnsi="楷体" w:eastAsia="楷体"/>
          <w:spacing w:val="20"/>
          <w:sz w:val="24"/>
        </w:rPr>
        <w:t>务：</w:t>
      </w:r>
      <w:r>
        <w:rPr>
          <w:rFonts w:ascii="楷体" w:hAnsi="楷体" w:eastAsia="楷体"/>
          <w:spacing w:val="20"/>
          <w:sz w:val="24"/>
          <w:u w:val="single"/>
        </w:rPr>
        <w:t xml:space="preserve">                </w:t>
      </w:r>
      <w:r>
        <w:rPr>
          <w:rFonts w:hint="eastAsia" w:ascii="楷体" w:hAnsi="楷体" w:eastAsia="楷体"/>
          <w:spacing w:val="20"/>
          <w:sz w:val="24"/>
          <w:u w:val="single"/>
        </w:rPr>
        <w:t xml:space="preserve">  </w:t>
      </w:r>
    </w:p>
    <w:p>
      <w:pPr>
        <w:spacing w:line="360" w:lineRule="auto"/>
        <w:ind w:firstLine="560" w:firstLineChars="200"/>
        <w:rPr>
          <w:rFonts w:ascii="楷体" w:hAnsi="楷体" w:eastAsia="楷体"/>
          <w:spacing w:val="20"/>
          <w:sz w:val="24"/>
          <w:u w:val="single"/>
        </w:rPr>
      </w:pPr>
    </w:p>
    <w:p>
      <w:pPr>
        <w:spacing w:line="360" w:lineRule="auto"/>
        <w:ind w:firstLine="560" w:firstLineChars="200"/>
        <w:rPr>
          <w:rFonts w:ascii="楷体" w:hAnsi="楷体" w:eastAsia="楷体"/>
          <w:spacing w:val="20"/>
          <w:sz w:val="24"/>
        </w:rPr>
      </w:pPr>
      <w:r>
        <w:rPr>
          <w:rFonts w:ascii="楷体" w:hAnsi="楷体" w:eastAsia="楷体"/>
          <w:spacing w:val="20"/>
          <w:sz w:val="24"/>
        </w:rPr>
        <w:t>系                        （投标人名称）的法定代表人。</w:t>
      </w:r>
    </w:p>
    <w:p>
      <w:pPr>
        <w:spacing w:line="360" w:lineRule="auto"/>
        <w:ind w:firstLine="560" w:firstLineChars="200"/>
        <w:rPr>
          <w:rFonts w:ascii="楷体" w:hAnsi="楷体" w:eastAsia="楷体"/>
          <w:spacing w:val="20"/>
          <w:sz w:val="24"/>
        </w:rPr>
      </w:pPr>
      <w:r>
        <w:rPr>
          <w:rFonts w:ascii="楷体" w:hAnsi="楷体" w:eastAsia="楷体"/>
          <w:spacing w:val="20"/>
          <w:sz w:val="24"/>
        </w:rPr>
        <w:t>特此证明。</w:t>
      </w:r>
    </w:p>
    <w:p>
      <w:pPr>
        <w:spacing w:line="360" w:lineRule="auto"/>
        <w:ind w:firstLine="562" w:firstLineChars="200"/>
        <w:rPr>
          <w:rFonts w:ascii="楷体" w:hAnsi="楷体" w:eastAsia="楷体"/>
          <w:spacing w:val="20"/>
          <w:sz w:val="24"/>
        </w:rPr>
      </w:pPr>
      <w:r>
        <w:rPr>
          <w:rFonts w:ascii="楷体" w:hAnsi="楷体" w:eastAsia="楷体"/>
          <w:b/>
          <w:bCs/>
          <w:spacing w:val="20"/>
          <w:sz w:val="24"/>
        </w:rPr>
        <w:t>注：</w:t>
      </w:r>
      <w:r>
        <w:rPr>
          <w:rFonts w:hint="eastAsia" w:ascii="楷体" w:hAnsi="楷体" w:eastAsia="楷体"/>
          <w:spacing w:val="20"/>
          <w:sz w:val="24"/>
          <w:lang w:eastAsia="zh-CN"/>
        </w:rPr>
        <w:t>法人身份证复印件请附于本附件后（加盖公章）</w:t>
      </w:r>
      <w:r>
        <w:rPr>
          <w:rFonts w:ascii="楷体" w:hAnsi="楷体" w:eastAsia="楷体"/>
          <w:spacing w:val="20"/>
          <w:sz w:val="24"/>
        </w:rPr>
        <w:t>。</w:t>
      </w: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法定代表人（签字或盖章）：</w:t>
      </w: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ascii="楷体" w:hAnsi="楷体" w:eastAsia="楷体"/>
          <w:spacing w:val="20"/>
          <w:sz w:val="24"/>
        </w:rPr>
      </w:pPr>
      <w:r>
        <w:rPr>
          <w:rFonts w:hint="eastAsia" w:ascii="楷体" w:hAnsi="楷体" w:eastAsia="楷体"/>
          <w:spacing w:val="20"/>
          <w:sz w:val="24"/>
        </w:rPr>
        <w:t>授权代表签字</w:t>
      </w:r>
      <w:r>
        <w:rPr>
          <w:rFonts w:ascii="楷体" w:hAnsi="楷体" w:eastAsia="楷体"/>
          <w:spacing w:val="20"/>
          <w:sz w:val="24"/>
        </w:rPr>
        <w:t xml:space="preserve">：                       </w:t>
      </w:r>
    </w:p>
    <w:p>
      <w:pPr>
        <w:spacing w:line="360" w:lineRule="auto"/>
        <w:ind w:firstLine="5600" w:firstLineChars="2000"/>
        <w:rPr>
          <w:rFonts w:ascii="楷体" w:hAnsi="楷体" w:eastAsia="楷体"/>
          <w:spacing w:val="20"/>
          <w:sz w:val="24"/>
        </w:rPr>
      </w:pPr>
      <w:r>
        <w:rPr>
          <w:rFonts w:ascii="楷体" w:hAnsi="楷体" w:eastAsia="楷体"/>
          <w:spacing w:val="20"/>
          <w:sz w:val="24"/>
        </w:rPr>
        <w:t xml:space="preserve"> </w:t>
      </w:r>
      <w:r>
        <w:rPr>
          <w:rFonts w:hint="eastAsia" w:ascii="楷体" w:hAnsi="楷体" w:eastAsia="楷体"/>
          <w:spacing w:val="20"/>
          <w:sz w:val="24"/>
        </w:rPr>
        <w:t>单位名称</w:t>
      </w:r>
      <w:r>
        <w:rPr>
          <w:rFonts w:ascii="楷体" w:hAnsi="楷体" w:eastAsia="楷体"/>
          <w:spacing w:val="20"/>
          <w:sz w:val="24"/>
        </w:rPr>
        <w:t>（盖章）</w:t>
      </w:r>
    </w:p>
    <w:p>
      <w:pPr>
        <w:spacing w:line="360" w:lineRule="auto"/>
        <w:ind w:firstLine="560" w:firstLineChars="200"/>
        <w:rPr>
          <w:rFonts w:ascii="楷体" w:hAnsi="楷体" w:eastAsia="楷体"/>
          <w:spacing w:val="20"/>
          <w:sz w:val="24"/>
        </w:rPr>
      </w:pPr>
    </w:p>
    <w:p>
      <w:pPr>
        <w:spacing w:line="360" w:lineRule="auto"/>
        <w:ind w:firstLine="560" w:firstLineChars="200"/>
        <w:rPr>
          <w:rFonts w:ascii="楷体" w:hAnsi="楷体" w:eastAsia="楷体"/>
          <w:spacing w:val="20"/>
          <w:sz w:val="24"/>
        </w:rPr>
      </w:pPr>
      <w:r>
        <w:rPr>
          <w:rFonts w:ascii="楷体" w:hAnsi="楷体" w:eastAsia="楷体"/>
          <w:spacing w:val="20"/>
          <w:sz w:val="24"/>
        </w:rPr>
        <w:t xml:space="preserve">  </w:t>
      </w:r>
      <w:r>
        <w:rPr>
          <w:rFonts w:hint="eastAsia" w:ascii="楷体" w:hAnsi="楷体" w:eastAsia="楷体"/>
          <w:spacing w:val="20"/>
          <w:sz w:val="24"/>
        </w:rPr>
        <w:t xml:space="preserve">                              </w:t>
      </w:r>
      <w:r>
        <w:rPr>
          <w:rFonts w:ascii="楷体" w:hAnsi="楷体" w:eastAsia="楷体"/>
          <w:spacing w:val="20"/>
          <w:sz w:val="24"/>
        </w:rPr>
        <w:t xml:space="preserve">  年    月    日</w:t>
      </w: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p>
    <w:p>
      <w:pPr>
        <w:spacing w:line="360" w:lineRule="auto"/>
        <w:rPr>
          <w:rFonts w:hint="eastAsia" w:ascii="楷体" w:hAnsi="楷体" w:eastAsia="楷体"/>
          <w:b/>
          <w:sz w:val="24"/>
        </w:rPr>
      </w:pPr>
      <w:r>
        <w:rPr>
          <w:rFonts w:hint="eastAsia" w:ascii="楷体" w:hAnsi="楷体" w:eastAsia="楷体"/>
          <w:b/>
          <w:sz w:val="24"/>
        </w:rPr>
        <w:t>附件</w:t>
      </w:r>
      <w:r>
        <w:rPr>
          <w:rFonts w:hint="eastAsia" w:ascii="楷体" w:hAnsi="楷体" w:eastAsia="楷体"/>
          <w:b/>
          <w:sz w:val="24"/>
          <w:lang w:val="en-US" w:eastAsia="zh-CN"/>
        </w:rPr>
        <w:t>四</w:t>
      </w:r>
      <w:r>
        <w:rPr>
          <w:rFonts w:hint="eastAsia" w:ascii="楷体" w:hAnsi="楷体" w:eastAsia="楷体"/>
          <w:b/>
          <w:sz w:val="24"/>
        </w:rPr>
        <w:t>：授权委托书</w:t>
      </w:r>
    </w:p>
    <w:p>
      <w:pPr>
        <w:spacing w:line="360" w:lineRule="auto"/>
        <w:rPr>
          <w:rFonts w:hint="eastAsia" w:ascii="楷体" w:hAnsi="楷体" w:eastAsia="楷体"/>
          <w:b/>
          <w:sz w:val="24"/>
        </w:rPr>
      </w:pPr>
    </w:p>
    <w:p>
      <w:pPr>
        <w:spacing w:line="360" w:lineRule="auto"/>
        <w:jc w:val="center"/>
        <w:rPr>
          <w:rFonts w:hint="eastAsia" w:ascii="楷体" w:hAnsi="楷体" w:eastAsia="楷体"/>
          <w:b/>
          <w:sz w:val="36"/>
          <w:szCs w:val="36"/>
        </w:rPr>
      </w:pPr>
      <w:r>
        <w:rPr>
          <w:rFonts w:hint="eastAsia" w:ascii="楷体" w:hAnsi="楷体" w:eastAsia="楷体"/>
          <w:b/>
          <w:sz w:val="36"/>
          <w:szCs w:val="36"/>
        </w:rPr>
        <w:t>授权委托书</w:t>
      </w:r>
    </w:p>
    <w:p>
      <w:pPr>
        <w:spacing w:line="360" w:lineRule="auto"/>
        <w:jc w:val="center"/>
        <w:rPr>
          <w:rFonts w:hint="eastAsia" w:ascii="楷体" w:hAnsi="楷体" w:eastAsia="楷体"/>
          <w:b/>
          <w:sz w:val="36"/>
          <w:szCs w:val="36"/>
        </w:rPr>
      </w:pPr>
    </w:p>
    <w:p>
      <w:pPr>
        <w:spacing w:line="360" w:lineRule="auto"/>
        <w:rPr>
          <w:rFonts w:hint="eastAsia" w:ascii="楷体" w:hAnsi="楷体" w:eastAsia="楷体"/>
          <w:spacing w:val="20"/>
          <w:sz w:val="24"/>
        </w:rPr>
      </w:pPr>
      <w:r>
        <w:rPr>
          <w:rFonts w:hint="eastAsia" w:ascii="楷体" w:hAnsi="楷体" w:eastAsia="楷体"/>
          <w:spacing w:val="20"/>
          <w:sz w:val="24"/>
          <w:lang w:eastAsia="zh-CN"/>
        </w:rPr>
        <w:t>安徽安诚金融控股集团有限公司</w:t>
      </w:r>
      <w:r>
        <w:rPr>
          <w:rFonts w:hint="eastAsia" w:ascii="楷体" w:hAnsi="楷体" w:eastAsia="楷体"/>
          <w:spacing w:val="20"/>
          <w:sz w:val="24"/>
        </w:rPr>
        <w:t>：：</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本授权书申明：XX公司法定代表人XX经合法授权，特代表本单位授权XX为本公司正式的合法代理人，并授权该代理人在</w:t>
      </w:r>
      <w:r>
        <w:rPr>
          <w:rFonts w:hint="eastAsia" w:ascii="楷体" w:hAnsi="楷体" w:eastAsia="楷体"/>
          <w:spacing w:val="20"/>
          <w:sz w:val="24"/>
          <w:lang w:eastAsia="zh-CN"/>
        </w:rPr>
        <w:t>安徽安诚金融控股集团有限公司20</w:t>
      </w:r>
      <w:r>
        <w:rPr>
          <w:rFonts w:hint="eastAsia" w:ascii="楷体" w:hAnsi="楷体" w:eastAsia="楷体"/>
          <w:spacing w:val="20"/>
          <w:sz w:val="24"/>
          <w:lang w:val="en-US" w:eastAsia="zh-CN"/>
        </w:rPr>
        <w:t>20</w:t>
      </w:r>
      <w:r>
        <w:rPr>
          <w:rFonts w:hint="eastAsia" w:ascii="楷体" w:hAnsi="楷体" w:eastAsia="楷体"/>
          <w:spacing w:val="20"/>
          <w:sz w:val="24"/>
          <w:lang w:eastAsia="zh-CN"/>
        </w:rPr>
        <w:t>年</w:t>
      </w:r>
      <w:r>
        <w:rPr>
          <w:rFonts w:hint="eastAsia" w:ascii="楷体" w:hAnsi="楷体" w:eastAsia="楷体"/>
          <w:spacing w:val="20"/>
          <w:sz w:val="24"/>
          <w:lang w:val="en-US" w:eastAsia="zh-CN"/>
        </w:rPr>
        <w:t>非公开发行公司债券</w:t>
      </w:r>
      <w:r>
        <w:rPr>
          <w:rFonts w:hint="eastAsia" w:ascii="楷体" w:hAnsi="楷体" w:eastAsia="楷体"/>
          <w:spacing w:val="20"/>
          <w:sz w:val="24"/>
        </w:rPr>
        <w:t>主承销商评选过程中，以我单位名义签署各项文件及处理有关事宜，本公司均予以认可并对此承担完全法律责任。</w:t>
      </w:r>
    </w:p>
    <w:p>
      <w:pPr>
        <w:spacing w:line="360" w:lineRule="auto"/>
        <w:ind w:firstLine="560" w:firstLineChars="200"/>
        <w:rPr>
          <w:rFonts w:hint="eastAsia" w:ascii="楷体" w:hAnsi="楷体" w:eastAsia="楷体"/>
          <w:spacing w:val="20"/>
          <w:sz w:val="24"/>
          <w:lang w:eastAsia="zh-CN"/>
        </w:rPr>
      </w:pPr>
    </w:p>
    <w:p>
      <w:pPr>
        <w:spacing w:line="360" w:lineRule="auto"/>
        <w:ind w:firstLine="562" w:firstLineChars="200"/>
        <w:rPr>
          <w:rFonts w:hint="eastAsia" w:ascii="楷体" w:hAnsi="楷体" w:eastAsia="楷体"/>
          <w:spacing w:val="20"/>
          <w:sz w:val="24"/>
          <w:lang w:eastAsia="zh-CN"/>
        </w:rPr>
      </w:pPr>
      <w:r>
        <w:rPr>
          <w:rFonts w:hint="eastAsia" w:ascii="楷体" w:hAnsi="楷体" w:eastAsia="楷体"/>
          <w:b/>
          <w:bCs/>
          <w:spacing w:val="20"/>
          <w:sz w:val="24"/>
          <w:lang w:eastAsia="zh-CN"/>
        </w:rPr>
        <w:t>注：</w:t>
      </w:r>
      <w:r>
        <w:rPr>
          <w:rFonts w:hint="eastAsia" w:ascii="楷体" w:hAnsi="楷体" w:eastAsia="楷体"/>
          <w:spacing w:val="20"/>
          <w:sz w:val="24"/>
          <w:lang w:eastAsia="zh-CN"/>
        </w:rPr>
        <w:t>授权代表身份证复印件请附于本附件之后（加盖公章）。</w:t>
      </w:r>
    </w:p>
    <w:p>
      <w:pPr>
        <w:spacing w:line="360" w:lineRule="auto"/>
        <w:ind w:firstLine="280" w:firstLineChars="100"/>
        <w:rPr>
          <w:rFonts w:hint="eastAsia" w:ascii="楷体" w:hAnsi="楷体" w:eastAsia="楷体"/>
          <w:spacing w:val="20"/>
          <w:sz w:val="24"/>
        </w:rPr>
      </w:pPr>
    </w:p>
    <w:p>
      <w:pPr>
        <w:spacing w:line="360" w:lineRule="auto"/>
        <w:ind w:firstLine="280" w:firstLineChars="100"/>
        <w:rPr>
          <w:rFonts w:hint="eastAsia" w:ascii="楷体" w:hAnsi="楷体" w:eastAsia="楷体"/>
          <w:spacing w:val="20"/>
          <w:sz w:val="24"/>
        </w:rPr>
      </w:pPr>
      <w:r>
        <w:rPr>
          <w:rFonts w:hint="eastAsia" w:ascii="楷体" w:hAnsi="楷体" w:eastAsia="楷体"/>
          <w:spacing w:val="20"/>
          <w:sz w:val="24"/>
        </w:rPr>
        <w:t>被委托授权人身份证号：</w:t>
      </w:r>
    </w:p>
    <w:p>
      <w:pPr>
        <w:spacing w:line="360" w:lineRule="auto"/>
        <w:ind w:firstLine="280" w:firstLineChars="100"/>
        <w:rPr>
          <w:rFonts w:hint="eastAsia" w:ascii="楷体" w:hAnsi="楷体" w:eastAsia="楷体"/>
          <w:spacing w:val="20"/>
          <w:sz w:val="24"/>
        </w:rPr>
      </w:pPr>
    </w:p>
    <w:p>
      <w:pPr>
        <w:spacing w:line="360" w:lineRule="auto"/>
        <w:ind w:firstLine="280" w:firstLineChars="100"/>
        <w:rPr>
          <w:rFonts w:hint="eastAsia" w:ascii="楷体" w:hAnsi="楷体" w:eastAsia="楷体"/>
          <w:spacing w:val="20"/>
          <w:sz w:val="24"/>
        </w:rPr>
      </w:pPr>
      <w:r>
        <w:rPr>
          <w:rFonts w:hint="eastAsia" w:ascii="楷体" w:hAnsi="楷体" w:eastAsia="楷体"/>
          <w:spacing w:val="20"/>
          <w:sz w:val="24"/>
        </w:rPr>
        <w:t>法定代表人（签字或盖章）：</w:t>
      </w:r>
    </w:p>
    <w:p>
      <w:pPr>
        <w:spacing w:line="360" w:lineRule="auto"/>
        <w:ind w:firstLine="280" w:firstLineChars="100"/>
        <w:rPr>
          <w:rFonts w:hint="eastAsia" w:ascii="楷体" w:hAnsi="楷体" w:eastAsia="楷体"/>
          <w:spacing w:val="20"/>
          <w:sz w:val="24"/>
        </w:rPr>
      </w:pPr>
      <w:r>
        <w:rPr>
          <w:rFonts w:hint="eastAsia" w:ascii="楷体" w:hAnsi="楷体" w:eastAsia="楷体"/>
          <w:spacing w:val="20"/>
          <w:sz w:val="24"/>
        </w:rPr>
        <w:t xml:space="preserve"> </w:t>
      </w:r>
    </w:p>
    <w:p>
      <w:pPr>
        <w:spacing w:line="360" w:lineRule="auto"/>
        <w:ind w:firstLine="280" w:firstLineChars="100"/>
        <w:rPr>
          <w:rFonts w:hint="eastAsia" w:ascii="楷体" w:hAnsi="楷体" w:eastAsia="楷体"/>
          <w:spacing w:val="20"/>
          <w:sz w:val="24"/>
        </w:rPr>
      </w:pPr>
      <w:r>
        <w:rPr>
          <w:rFonts w:hint="eastAsia" w:ascii="楷体" w:hAnsi="楷体" w:eastAsia="楷体"/>
          <w:spacing w:val="20"/>
          <w:sz w:val="24"/>
        </w:rPr>
        <w:t>委托代理人（</w:t>
      </w:r>
      <w:r>
        <w:rPr>
          <w:rFonts w:hint="eastAsia" w:ascii="楷体" w:hAnsi="楷体" w:eastAsia="楷体"/>
          <w:spacing w:val="20"/>
          <w:sz w:val="24"/>
          <w:lang w:eastAsia="zh-CN"/>
        </w:rPr>
        <w:t>授权代表</w:t>
      </w:r>
      <w:r>
        <w:rPr>
          <w:rFonts w:hint="eastAsia" w:ascii="楷体" w:hAnsi="楷体" w:eastAsia="楷体"/>
          <w:spacing w:val="20"/>
          <w:sz w:val="24"/>
        </w:rPr>
        <w:t>签字）：</w:t>
      </w:r>
    </w:p>
    <w:p>
      <w:pPr>
        <w:spacing w:line="360" w:lineRule="auto"/>
        <w:rPr>
          <w:rFonts w:hint="eastAsia" w:ascii="楷体" w:hAnsi="楷体" w:eastAsia="楷体"/>
          <w:spacing w:val="20"/>
          <w:sz w:val="24"/>
        </w:rPr>
      </w:pPr>
      <w:r>
        <w:rPr>
          <w:rFonts w:hint="eastAsia" w:ascii="楷体" w:hAnsi="楷体" w:eastAsia="楷体"/>
          <w:spacing w:val="20"/>
          <w:sz w:val="24"/>
        </w:rPr>
        <w:t xml:space="preserve">                   </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 xml:space="preserve">                              XX公司</w:t>
      </w:r>
      <w:r>
        <w:rPr>
          <w:rFonts w:hint="eastAsia" w:ascii="楷体" w:hAnsi="楷体" w:eastAsia="楷体"/>
          <w:spacing w:val="20"/>
          <w:sz w:val="24"/>
          <w:lang w:eastAsia="zh-CN"/>
        </w:rPr>
        <w:t>（盖章）</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 xml:space="preserve">                              </w:t>
      </w:r>
      <w:r>
        <w:rPr>
          <w:rFonts w:hint="eastAsia" w:ascii="楷体" w:hAnsi="楷体" w:eastAsia="楷体"/>
          <w:spacing w:val="20"/>
          <w:sz w:val="24"/>
          <w:lang w:eastAsia="zh-CN"/>
        </w:rPr>
        <w:t>20</w:t>
      </w:r>
      <w:r>
        <w:rPr>
          <w:rFonts w:hint="eastAsia" w:ascii="楷体" w:hAnsi="楷体" w:eastAsia="楷体"/>
          <w:spacing w:val="20"/>
          <w:sz w:val="24"/>
          <w:lang w:val="en-US" w:eastAsia="zh-CN"/>
        </w:rPr>
        <w:t>20</w:t>
      </w:r>
      <w:r>
        <w:rPr>
          <w:rFonts w:hint="eastAsia" w:ascii="楷体" w:hAnsi="楷体" w:eastAsia="楷体"/>
          <w:spacing w:val="20"/>
          <w:sz w:val="24"/>
          <w:lang w:eastAsia="zh-CN"/>
        </w:rPr>
        <w:t>年</w:t>
      </w:r>
      <w:r>
        <w:rPr>
          <w:rFonts w:hint="eastAsia" w:ascii="楷体" w:hAnsi="楷体" w:eastAsia="楷体"/>
          <w:spacing w:val="20"/>
          <w:sz w:val="24"/>
        </w:rPr>
        <w:t xml:space="preserve"> 月  日</w:t>
      </w: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p>
    <w:p>
      <w:pPr>
        <w:spacing w:line="360" w:lineRule="auto"/>
        <w:ind w:firstLine="560" w:firstLineChars="200"/>
        <w:jc w:val="right"/>
        <w:rPr>
          <w:rFonts w:hint="eastAsia" w:ascii="楷体" w:hAnsi="楷体" w:eastAsia="楷体"/>
          <w:spacing w:val="20"/>
          <w:sz w:val="24"/>
          <w:szCs w:val="24"/>
        </w:rPr>
      </w:pPr>
    </w:p>
    <w:p>
      <w:pPr>
        <w:spacing w:before="312" w:beforeLines="100" w:after="312" w:afterLines="100" w:line="360" w:lineRule="auto"/>
        <w:rPr>
          <w:rFonts w:hint="eastAsia" w:ascii="楷体" w:hAnsi="楷体" w:eastAsia="楷体"/>
          <w:b/>
          <w:sz w:val="24"/>
        </w:rPr>
      </w:pPr>
      <w:r>
        <w:rPr>
          <w:rFonts w:hint="eastAsia" w:ascii="楷体" w:hAnsi="楷体" w:eastAsia="楷体"/>
          <w:b/>
          <w:sz w:val="24"/>
        </w:rPr>
        <w:t>附件</w:t>
      </w:r>
      <w:r>
        <w:rPr>
          <w:rFonts w:hint="eastAsia" w:ascii="楷体" w:hAnsi="楷体" w:eastAsia="楷体"/>
          <w:b/>
          <w:sz w:val="24"/>
          <w:lang w:val="en-US" w:eastAsia="zh-CN"/>
        </w:rPr>
        <w:t>五</w:t>
      </w:r>
      <w:r>
        <w:rPr>
          <w:rFonts w:hint="eastAsia" w:ascii="楷体" w:hAnsi="楷体" w:eastAsia="楷体"/>
          <w:b/>
          <w:sz w:val="24"/>
        </w:rPr>
        <w:t>：参评意向书</w:t>
      </w:r>
    </w:p>
    <w:p>
      <w:pPr>
        <w:spacing w:before="312" w:beforeLines="100" w:after="312" w:afterLines="100" w:line="360" w:lineRule="auto"/>
        <w:jc w:val="center"/>
        <w:rPr>
          <w:rFonts w:hint="eastAsia" w:ascii="楷体" w:hAnsi="楷体" w:eastAsia="楷体"/>
          <w:b/>
          <w:sz w:val="36"/>
          <w:szCs w:val="36"/>
        </w:rPr>
      </w:pPr>
      <w:r>
        <w:rPr>
          <w:rFonts w:hint="eastAsia" w:ascii="楷体" w:hAnsi="楷体" w:eastAsia="楷体"/>
          <w:b/>
          <w:sz w:val="36"/>
          <w:szCs w:val="36"/>
        </w:rPr>
        <w:t>参评意向书</w:t>
      </w:r>
    </w:p>
    <w:p>
      <w:pPr>
        <w:spacing w:line="360" w:lineRule="auto"/>
        <w:rPr>
          <w:rFonts w:hint="default" w:ascii="楷体" w:hAnsi="楷体" w:eastAsia="楷体"/>
          <w:spacing w:val="20"/>
          <w:sz w:val="24"/>
          <w:lang w:val="en-US"/>
        </w:rPr>
      </w:pPr>
      <w:r>
        <w:rPr>
          <w:rFonts w:hint="eastAsia" w:ascii="楷体" w:hAnsi="楷体" w:eastAsia="楷体"/>
          <w:spacing w:val="20"/>
          <w:sz w:val="24"/>
        </w:rPr>
        <w:t>致：</w:t>
      </w:r>
      <w:r>
        <w:rPr>
          <w:rFonts w:hint="eastAsia" w:ascii="楷体" w:hAnsi="楷体" w:eastAsia="楷体"/>
          <w:spacing w:val="20"/>
          <w:sz w:val="24"/>
          <w:lang w:val="en-US" w:eastAsia="zh-CN"/>
        </w:rPr>
        <w:t>安徽安诚金融控股集团有限公司</w:t>
      </w:r>
    </w:p>
    <w:p>
      <w:pPr>
        <w:tabs>
          <w:tab w:val="left" w:pos="2625"/>
        </w:tabs>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根据贵方评选</w:t>
      </w:r>
      <w:r>
        <w:rPr>
          <w:rFonts w:hint="eastAsia" w:ascii="楷体" w:hAnsi="楷体" w:eastAsia="楷体"/>
          <w:spacing w:val="20"/>
          <w:sz w:val="24"/>
          <w:lang w:val="en-US" w:eastAsia="zh-CN"/>
        </w:rPr>
        <w:t>公司债</w:t>
      </w:r>
      <w:r>
        <w:rPr>
          <w:rFonts w:hint="eastAsia" w:ascii="楷体" w:hAnsi="楷体" w:eastAsia="楷体"/>
          <w:spacing w:val="20"/>
          <w:sz w:val="24"/>
        </w:rPr>
        <w:t>主承销商的邀请，我公司</w:t>
      </w:r>
      <w:r>
        <w:rPr>
          <w:rFonts w:hint="eastAsia" w:ascii="楷体" w:hAnsi="楷体" w:eastAsia="楷体"/>
          <w:spacing w:val="20"/>
          <w:sz w:val="24"/>
          <w:lang w:eastAsia="zh-CN"/>
        </w:rPr>
        <w:t>将按时提交投标文件并参与投标</w:t>
      </w:r>
      <w:r>
        <w:rPr>
          <w:rFonts w:hint="eastAsia" w:ascii="楷体" w:hAnsi="楷体" w:eastAsia="楷体"/>
          <w:spacing w:val="20"/>
          <w:sz w:val="24"/>
        </w:rPr>
        <w:t>：</w:t>
      </w:r>
    </w:p>
    <w:p>
      <w:pPr>
        <w:tabs>
          <w:tab w:val="left" w:pos="2625"/>
        </w:tabs>
        <w:spacing w:line="360" w:lineRule="auto"/>
        <w:ind w:firstLine="560" w:firstLineChars="200"/>
        <w:rPr>
          <w:rFonts w:hint="eastAsia" w:ascii="楷体" w:hAnsi="楷体" w:eastAsia="楷体"/>
          <w:spacing w:val="20"/>
          <w:sz w:val="24"/>
        </w:rPr>
      </w:pPr>
      <w:r>
        <w:rPr>
          <w:rFonts w:hint="eastAsia" w:ascii="楷体" w:hAnsi="楷体" w:eastAsia="楷体"/>
          <w:spacing w:val="20"/>
          <w:sz w:val="24"/>
        </w:rPr>
        <w:t>据此函，我公司宣布同意如下：</w:t>
      </w:r>
    </w:p>
    <w:p>
      <w:pPr>
        <w:tabs>
          <w:tab w:val="left" w:pos="2625"/>
        </w:tabs>
        <w:spacing w:line="360" w:lineRule="auto"/>
        <w:ind w:firstLine="560" w:firstLineChars="200"/>
        <w:rPr>
          <w:rFonts w:hint="eastAsia" w:ascii="楷体" w:hAnsi="楷体" w:eastAsia="楷体"/>
          <w:spacing w:val="20"/>
          <w:sz w:val="24"/>
        </w:rPr>
      </w:pPr>
      <w:r>
        <w:rPr>
          <w:rFonts w:hint="eastAsia" w:ascii="楷体" w:hAnsi="楷体" w:eastAsia="楷体"/>
          <w:spacing w:val="20"/>
          <w:sz w:val="24"/>
          <w:lang w:val="en-US" w:eastAsia="zh-CN"/>
        </w:rPr>
        <w:t>1</w:t>
      </w:r>
      <w:r>
        <w:rPr>
          <w:rFonts w:hint="eastAsia" w:ascii="楷体" w:hAnsi="楷体" w:eastAsia="楷体"/>
          <w:spacing w:val="20"/>
          <w:sz w:val="24"/>
        </w:rPr>
        <w:t>、XX公司完全理解并接受</w:t>
      </w:r>
      <w:r>
        <w:rPr>
          <w:rFonts w:hint="eastAsia" w:ascii="楷体" w:hAnsi="楷体" w:eastAsia="楷体"/>
          <w:spacing w:val="20"/>
          <w:sz w:val="24"/>
          <w:lang w:val="en-US" w:eastAsia="zh-CN"/>
        </w:rPr>
        <w:t>安诚金融</w:t>
      </w:r>
      <w:r>
        <w:rPr>
          <w:rFonts w:hint="eastAsia" w:ascii="楷体" w:hAnsi="楷体" w:eastAsia="楷体"/>
          <w:spacing w:val="20"/>
          <w:sz w:val="24"/>
        </w:rPr>
        <w:t>有不接受任何</w:t>
      </w:r>
      <w:r>
        <w:rPr>
          <w:rFonts w:hint="eastAsia" w:ascii="楷体" w:hAnsi="楷体" w:eastAsia="楷体"/>
          <w:spacing w:val="20"/>
          <w:sz w:val="24"/>
          <w:lang w:eastAsia="zh-CN"/>
        </w:rPr>
        <w:t>投标券商</w:t>
      </w:r>
      <w:r>
        <w:rPr>
          <w:rFonts w:hint="eastAsia" w:ascii="楷体" w:hAnsi="楷体" w:eastAsia="楷体"/>
          <w:spacing w:val="20"/>
          <w:sz w:val="24"/>
        </w:rPr>
        <w:t>而无需做出解释的权利。</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lang w:val="en-US" w:eastAsia="zh-CN"/>
        </w:rPr>
        <w:t>2</w:t>
      </w:r>
      <w:r>
        <w:rPr>
          <w:rFonts w:hint="eastAsia" w:ascii="楷体" w:hAnsi="楷体" w:eastAsia="楷体"/>
          <w:spacing w:val="20"/>
          <w:sz w:val="24"/>
        </w:rPr>
        <w:t>、XX公司将按工作方案的规定履行合同责任和义务。</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lang w:val="en-US" w:eastAsia="zh-CN"/>
        </w:rPr>
        <w:t>3</w:t>
      </w:r>
      <w:r>
        <w:rPr>
          <w:rFonts w:hint="eastAsia" w:ascii="楷体" w:hAnsi="楷体" w:eastAsia="楷体"/>
          <w:spacing w:val="20"/>
          <w:sz w:val="24"/>
        </w:rPr>
        <w:t>、XX公司已详细审查全部工作方案的文件，并充分理解，无异议。</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lang w:val="en-US" w:eastAsia="zh-CN"/>
        </w:rPr>
        <w:t>4</w:t>
      </w:r>
      <w:r>
        <w:rPr>
          <w:rFonts w:hint="eastAsia" w:ascii="楷体" w:hAnsi="楷体" w:eastAsia="楷体"/>
          <w:spacing w:val="20"/>
          <w:sz w:val="24"/>
        </w:rPr>
        <w:t>、XX公司同意提供按照</w:t>
      </w:r>
      <w:r>
        <w:rPr>
          <w:rFonts w:hint="eastAsia" w:ascii="楷体" w:hAnsi="楷体" w:eastAsia="楷体"/>
          <w:spacing w:val="20"/>
          <w:sz w:val="24"/>
          <w:lang w:val="en-US" w:eastAsia="zh-CN"/>
        </w:rPr>
        <w:t>安诚金融</w:t>
      </w:r>
      <w:r>
        <w:rPr>
          <w:rFonts w:hint="eastAsia" w:ascii="楷体" w:hAnsi="楷体" w:eastAsia="楷体"/>
          <w:spacing w:val="20"/>
          <w:sz w:val="24"/>
        </w:rPr>
        <w:t>要求的与其参选有关的一切证书、数据或资料，并声明所提供文件资料完全真实有效。</w:t>
      </w:r>
    </w:p>
    <w:p>
      <w:pPr>
        <w:spacing w:line="360" w:lineRule="auto"/>
        <w:ind w:firstLine="560" w:firstLineChars="200"/>
        <w:rPr>
          <w:rFonts w:hint="eastAsia" w:ascii="楷体" w:hAnsi="楷体" w:eastAsia="楷体"/>
          <w:spacing w:val="20"/>
          <w:sz w:val="24"/>
        </w:rPr>
      </w:pPr>
      <w:r>
        <w:rPr>
          <w:rFonts w:hint="eastAsia" w:ascii="楷体" w:hAnsi="楷体" w:eastAsia="楷体"/>
          <w:spacing w:val="20"/>
          <w:sz w:val="24"/>
          <w:lang w:val="en-US" w:eastAsia="zh-CN"/>
        </w:rPr>
        <w:t>5</w:t>
      </w:r>
      <w:r>
        <w:rPr>
          <w:rFonts w:hint="eastAsia" w:ascii="楷体" w:hAnsi="楷体" w:eastAsia="楷体"/>
          <w:spacing w:val="20"/>
          <w:sz w:val="24"/>
        </w:rPr>
        <w:t>、如我公司违反上述承诺，</w:t>
      </w:r>
      <w:r>
        <w:rPr>
          <w:rFonts w:hint="eastAsia" w:ascii="楷体" w:hAnsi="楷体" w:eastAsia="楷体"/>
          <w:spacing w:val="20"/>
          <w:sz w:val="24"/>
          <w:lang w:val="en-US" w:eastAsia="zh-CN"/>
        </w:rPr>
        <w:t>安诚金融</w:t>
      </w:r>
      <w:r>
        <w:rPr>
          <w:rFonts w:hint="eastAsia" w:ascii="楷体" w:hAnsi="楷体" w:eastAsia="楷体"/>
          <w:spacing w:val="20"/>
          <w:sz w:val="24"/>
        </w:rPr>
        <w:t>有权单方面解除合作协议。</w:t>
      </w: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rPr>
      </w:pPr>
    </w:p>
    <w:p>
      <w:pPr>
        <w:spacing w:line="360" w:lineRule="auto"/>
        <w:ind w:firstLine="560" w:firstLineChars="200"/>
        <w:rPr>
          <w:rFonts w:hint="eastAsia" w:ascii="楷体" w:hAnsi="楷体" w:eastAsia="楷体"/>
          <w:spacing w:val="20"/>
          <w:sz w:val="24"/>
          <w:lang w:eastAsia="zh-CN"/>
        </w:rPr>
      </w:pPr>
      <w:r>
        <w:rPr>
          <w:rFonts w:hint="eastAsia" w:ascii="楷体" w:hAnsi="楷体" w:eastAsia="楷体"/>
          <w:spacing w:val="20"/>
          <w:sz w:val="24"/>
        </w:rPr>
        <w:t>授权代表签字</w:t>
      </w:r>
      <w:r>
        <w:rPr>
          <w:rFonts w:hint="eastAsia" w:ascii="楷体" w:hAnsi="楷体" w:eastAsia="楷体"/>
          <w:spacing w:val="20"/>
          <w:sz w:val="24"/>
          <w:u w:val="none"/>
          <w:lang w:eastAsia="zh-CN"/>
        </w:rPr>
        <w:t>：</w:t>
      </w:r>
    </w:p>
    <w:p>
      <w:pPr>
        <w:spacing w:line="360" w:lineRule="auto"/>
        <w:ind w:firstLine="4340" w:firstLineChars="1550"/>
        <w:jc w:val="right"/>
        <w:rPr>
          <w:rFonts w:hint="eastAsia" w:ascii="楷体" w:hAnsi="楷体" w:eastAsia="楷体"/>
          <w:spacing w:val="20"/>
          <w:sz w:val="24"/>
        </w:rPr>
      </w:pPr>
    </w:p>
    <w:p>
      <w:pPr>
        <w:spacing w:line="360" w:lineRule="auto"/>
        <w:ind w:firstLine="4340" w:firstLineChars="1550"/>
        <w:jc w:val="right"/>
        <w:rPr>
          <w:rFonts w:hint="eastAsia" w:ascii="楷体" w:hAnsi="楷体" w:eastAsia="楷体"/>
          <w:spacing w:val="20"/>
          <w:sz w:val="24"/>
        </w:rPr>
      </w:pPr>
      <w:r>
        <w:rPr>
          <w:rFonts w:hint="eastAsia" w:ascii="楷体" w:hAnsi="楷体" w:eastAsia="楷体"/>
          <w:spacing w:val="20"/>
          <w:sz w:val="24"/>
        </w:rPr>
        <w:t>XX公司</w:t>
      </w:r>
      <w:r>
        <w:rPr>
          <w:rFonts w:hint="eastAsia" w:ascii="楷体" w:hAnsi="楷体" w:eastAsia="楷体"/>
          <w:spacing w:val="20"/>
          <w:sz w:val="24"/>
          <w:lang w:eastAsia="zh-CN"/>
        </w:rPr>
        <w:t>（盖章）</w:t>
      </w:r>
      <w:r>
        <w:rPr>
          <w:rFonts w:hint="eastAsia" w:ascii="楷体" w:hAnsi="楷体" w:eastAsia="楷体"/>
          <w:spacing w:val="20"/>
          <w:sz w:val="24"/>
          <w:u w:val="single"/>
        </w:rPr>
        <w:t xml:space="preserve">                   </w:t>
      </w:r>
    </w:p>
    <w:p>
      <w:pPr>
        <w:spacing w:line="360" w:lineRule="auto"/>
        <w:ind w:firstLine="4340" w:firstLineChars="1550"/>
        <w:jc w:val="right"/>
        <w:rPr>
          <w:rFonts w:hint="eastAsia" w:ascii="楷体" w:hAnsi="楷体" w:eastAsia="楷体"/>
          <w:spacing w:val="20"/>
          <w:sz w:val="24"/>
          <w:u w:val="single"/>
        </w:rPr>
      </w:pPr>
      <w:r>
        <w:rPr>
          <w:rFonts w:hint="eastAsia" w:ascii="楷体" w:hAnsi="楷体" w:eastAsia="楷体"/>
          <w:spacing w:val="20"/>
          <w:sz w:val="24"/>
          <w:lang w:eastAsia="zh-CN"/>
        </w:rPr>
        <w:t>20</w:t>
      </w:r>
      <w:r>
        <w:rPr>
          <w:rFonts w:hint="eastAsia" w:ascii="楷体" w:hAnsi="楷体" w:eastAsia="楷体"/>
          <w:spacing w:val="20"/>
          <w:sz w:val="24"/>
          <w:lang w:val="en-US" w:eastAsia="zh-CN"/>
        </w:rPr>
        <w:t>20</w:t>
      </w:r>
      <w:r>
        <w:rPr>
          <w:rFonts w:hint="eastAsia" w:ascii="楷体" w:hAnsi="楷体" w:eastAsia="楷体"/>
          <w:spacing w:val="20"/>
          <w:sz w:val="24"/>
          <w:lang w:eastAsia="zh-CN"/>
        </w:rPr>
        <w:t>年</w:t>
      </w:r>
      <w:r>
        <w:rPr>
          <w:rFonts w:hint="eastAsia" w:ascii="楷体" w:hAnsi="楷体" w:eastAsia="楷体"/>
          <w:spacing w:val="20"/>
          <w:sz w:val="24"/>
        </w:rPr>
        <w:t xml:space="preserve"> 月  日</w:t>
      </w:r>
      <w:r>
        <w:rPr>
          <w:rFonts w:hint="eastAsia" w:ascii="楷体" w:hAnsi="楷体" w:eastAsia="楷体"/>
          <w:spacing w:val="20"/>
          <w:sz w:val="24"/>
          <w:u w:val="single"/>
        </w:rPr>
        <w:t xml:space="preserve">                       </w:t>
      </w:r>
    </w:p>
    <w:p>
      <w:pPr>
        <w:spacing w:line="360" w:lineRule="auto"/>
        <w:rPr>
          <w:rFonts w:hint="eastAsia" w:ascii="楷体" w:hAnsi="楷体" w:eastAsia="楷体"/>
          <w:spacing w:val="20"/>
          <w:sz w:val="24"/>
          <w:u w:val="single"/>
        </w:rPr>
      </w:pPr>
    </w:p>
    <w:p>
      <w:pPr>
        <w:spacing w:line="360" w:lineRule="auto"/>
        <w:rPr>
          <w:rFonts w:hint="default" w:ascii="楷体" w:hAnsi="楷体" w:eastAsia="楷体"/>
          <w:b/>
          <w:sz w:val="24"/>
          <w:lang w:val="en-US" w:eastAsia="zh-CN"/>
        </w:rPr>
      </w:pPr>
    </w:p>
    <w:p>
      <w:pPr>
        <w:bidi w:val="0"/>
        <w:rPr>
          <w:rFonts w:hint="default"/>
          <w:kern w:val="2"/>
          <w:sz w:val="21"/>
          <w:szCs w:val="24"/>
          <w:lang w:val="en-US" w:eastAsia="zh-CN" w:bidi="ar-SA"/>
        </w:rPr>
      </w:pPr>
    </w:p>
    <w:p>
      <w:pPr>
        <w:bidi w:val="0"/>
        <w:rPr>
          <w:rFonts w:hint="default"/>
          <w:lang w:val="en-US" w:eastAsia="zh-CN"/>
        </w:rPr>
      </w:pPr>
    </w:p>
    <w:p>
      <w:pPr>
        <w:bidi w:val="0"/>
        <w:rPr>
          <w:rFonts w:hint="default"/>
          <w:lang w:val="en-US" w:eastAsia="zh-CN"/>
        </w:rPr>
      </w:pPr>
    </w:p>
    <w:p/>
    <w:p>
      <w:pPr>
        <w:rPr>
          <w:rFonts w:hint="eastAsia"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9"/>
                            </w:rPr>
                          </w:pPr>
                          <w:r>
                            <w:fldChar w:fldCharType="begin"/>
                          </w:r>
                          <w:r>
                            <w:rPr>
                              <w:rStyle w:val="9"/>
                            </w:rPr>
                            <w:instrText xml:space="preserve">PAGE  </w:instrText>
                          </w:r>
                          <w:r>
                            <w:fldChar w:fldCharType="separate"/>
                          </w:r>
                          <w:r>
                            <w:rPr>
                              <w:rStyle w:val="9"/>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3"/>
                      <w:rPr>
                        <w:rStyle w:val="9"/>
                      </w:rPr>
                    </w:pPr>
                    <w:r>
                      <w:fldChar w:fldCharType="begin"/>
                    </w:r>
                    <w:r>
                      <w:rPr>
                        <w:rStyle w:val="9"/>
                      </w:rPr>
                      <w:instrText xml:space="preserve">PAGE  </w:instrText>
                    </w:r>
                    <w:r>
                      <w:fldChar w:fldCharType="separate"/>
                    </w:r>
                    <w:r>
                      <w:rPr>
                        <w:rStyle w:val="9"/>
                      </w:rP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jMSVG3AQAAVQMAAA4AAABkcnMvZTJvRG9jLnhtbK1TzY7TMBC+&#10;I/EOlu802WoX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uMxJUbcBAABVAwAADgAAAAAAAAABACAAAAAiAQAAZHJzL2Uyb0RvYy54bWxQSwUGAAAAAAYA&#10;BgBZAQAASwUAAAAA&#10;">
              <v:fill on="f" focussize="0,0"/>
              <v:stroke on="f" weight="1.2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9"/>
                            </w:rPr>
                          </w:pPr>
                          <w:r>
                            <w:fldChar w:fldCharType="begin"/>
                          </w:r>
                          <w:r>
                            <w:rPr>
                              <w:rStyle w:val="9"/>
                            </w:rPr>
                            <w:instrText xml:space="preserve">PAGE  </w:instrText>
                          </w:r>
                          <w:r>
                            <w:fldChar w:fldCharType="separate"/>
                          </w:r>
                          <w:r>
                            <w:rPr>
                              <w:rStyle w:val="9"/>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38i9+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V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IvftgEAAFUDAAAOAAAAAAAAAAEAIAAAACIBAABkcnMvZTJvRG9jLnhtbFBLBQYAAAAABgAG&#10;AFkBAABKBQAAAAA=&#10;">
              <v:fill on="f" focussize="0,0"/>
              <v:stroke on="f" weight="1.25pt"/>
              <v:imagedata o:title=""/>
              <o:lock v:ext="edit" aspectratio="f"/>
              <v:textbox inset="0mm,0mm,0mm,0mm" style="mso-fit-shape-to-text:t;">
                <w:txbxContent>
                  <w:p>
                    <w:pPr>
                      <w:pStyle w:val="3"/>
                      <w:rPr>
                        <w:rStyle w:val="9"/>
                      </w:rPr>
                    </w:pPr>
                    <w:r>
                      <w:fldChar w:fldCharType="begin"/>
                    </w:r>
                    <w:r>
                      <w:rPr>
                        <w:rStyle w:val="9"/>
                      </w:rPr>
                      <w:instrText xml:space="preserve">PAGE  </w:instrText>
                    </w:r>
                    <w:r>
                      <w:fldChar w:fldCharType="separate"/>
                    </w:r>
                    <w:r>
                      <w:rPr>
                        <w:rStyle w:val="9"/>
                      </w:rP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EVLlT7cBAABVAwAADgAAAAAAAAABACAAAAAiAQAAZHJzL2Uyb0RvYy54bWxQSwUGAAAAAAYA&#10;BgBZAQAASwUAAAAA&#10;">
              <v:fill on="f" focussize="0,0"/>
              <v:stroke on="f" weight="1.2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70253A"/>
    <w:multiLevelType w:val="singleLevel"/>
    <w:tmpl w:val="DC70253A"/>
    <w:lvl w:ilvl="0" w:tentative="0">
      <w:start w:val="5"/>
      <w:numFmt w:val="chineseCounting"/>
      <w:suff w:val="nothing"/>
      <w:lvlText w:val="%1、"/>
      <w:lvlJc w:val="left"/>
      <w:rPr>
        <w:rFonts w:hint="eastAsia"/>
      </w:rPr>
    </w:lvl>
  </w:abstractNum>
  <w:abstractNum w:abstractNumId="1">
    <w:nsid w:val="1FFD7872"/>
    <w:multiLevelType w:val="singleLevel"/>
    <w:tmpl w:val="1FFD7872"/>
    <w:lvl w:ilvl="0" w:tentative="0">
      <w:start w:val="1"/>
      <w:numFmt w:val="chineseCounting"/>
      <w:suff w:val="nothing"/>
      <w:lvlText w:val="（%1）"/>
      <w:lvlJc w:val="left"/>
      <w:rPr>
        <w:rFonts w:hint="eastAsia"/>
      </w:rPr>
    </w:lvl>
  </w:abstractNum>
  <w:abstractNum w:abstractNumId="2">
    <w:nsid w:val="4E1D3C60"/>
    <w:multiLevelType w:val="singleLevel"/>
    <w:tmpl w:val="4E1D3C60"/>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474"/>
    <w:rsid w:val="00087BFA"/>
    <w:rsid w:val="000D39E1"/>
    <w:rsid w:val="00164B15"/>
    <w:rsid w:val="00310B2B"/>
    <w:rsid w:val="00355A42"/>
    <w:rsid w:val="00371474"/>
    <w:rsid w:val="00376F46"/>
    <w:rsid w:val="005058CC"/>
    <w:rsid w:val="0064372F"/>
    <w:rsid w:val="006A69A0"/>
    <w:rsid w:val="007139EE"/>
    <w:rsid w:val="00752AFE"/>
    <w:rsid w:val="007F5624"/>
    <w:rsid w:val="00842374"/>
    <w:rsid w:val="008C1435"/>
    <w:rsid w:val="00996D49"/>
    <w:rsid w:val="00A81C4B"/>
    <w:rsid w:val="00AF5190"/>
    <w:rsid w:val="00BF5F36"/>
    <w:rsid w:val="00D11154"/>
    <w:rsid w:val="00D374B5"/>
    <w:rsid w:val="00D83856"/>
    <w:rsid w:val="00F97E6D"/>
    <w:rsid w:val="046B7487"/>
    <w:rsid w:val="20F6768C"/>
    <w:rsid w:val="21401D92"/>
    <w:rsid w:val="26736878"/>
    <w:rsid w:val="2BB407C7"/>
    <w:rsid w:val="2E6354AD"/>
    <w:rsid w:val="300911CE"/>
    <w:rsid w:val="38D179A5"/>
    <w:rsid w:val="3A283769"/>
    <w:rsid w:val="3EC30F3C"/>
    <w:rsid w:val="45355EEE"/>
    <w:rsid w:val="53ED76F0"/>
    <w:rsid w:val="568F5235"/>
    <w:rsid w:val="73E94C2A"/>
    <w:rsid w:val="7FF21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semiHidden/>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4"/>
    <w:qFormat/>
    <w:uiPriority w:val="99"/>
    <w:rPr>
      <w:sz w:val="18"/>
      <w:szCs w:val="18"/>
    </w:rPr>
  </w:style>
  <w:style w:type="character" w:customStyle="1" w:styleId="11">
    <w:name w:val="页脚 字符"/>
    <w:basedOn w:val="8"/>
    <w:link w:val="3"/>
    <w:qFormat/>
    <w:uiPriority w:val="99"/>
    <w:rPr>
      <w:sz w:val="18"/>
      <w:szCs w:val="18"/>
    </w:rPr>
  </w:style>
  <w:style w:type="character" w:customStyle="1" w:styleId="12">
    <w:name w:val="标题 1 Char"/>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439</Characters>
  <Lines>3</Lines>
  <Paragraphs>1</Paragraphs>
  <TotalTime>3</TotalTime>
  <ScaleCrop>false</ScaleCrop>
  <LinksUpToDate>false</LinksUpToDate>
  <CharactersWithSpaces>515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2019-05-06T06:52:00Z</dcterms:created>
  <dc:creator>ACF</dc:creator>
  <cp:lastModifiedBy>M40-80</cp:lastModifiedBy>
  <dcterms:modified xsi:type="dcterms:W3CDTF">2020-08-11T02:38:16Z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